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jc w:val="center"/>
        <w:rPr>
          <w:rFonts w:ascii="Syncopate" w:cs="Syncopate" w:eastAsia="Syncopate" w:hAnsi="Syncopate"/>
        </w:rPr>
      </w:pPr>
      <w:bookmarkStart w:colFirst="0" w:colLast="0" w:name="_x543g13ug3p6" w:id="0"/>
      <w:bookmarkEnd w:id="0"/>
      <w:r w:rsidDel="00000000" w:rsidR="00000000" w:rsidRPr="00000000">
        <w:rPr>
          <w:rFonts w:ascii="Syncopate" w:cs="Syncopate" w:eastAsia="Syncopate" w:hAnsi="Syncopate"/>
          <w:rtl w:val="0"/>
        </w:rPr>
        <w:t xml:space="preserve">7 GAIA: IKUSPEGI INTEGRATZAILEA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bookmarkStart w:colFirst="0" w:colLast="0" w:name="_g2ewx83ivgcj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TEORIA SISTEMIKOA</w:t>
      </w:r>
    </w:p>
    <w:p w:rsidR="00000000" w:rsidDel="00000000" w:rsidP="00000000" w:rsidRDefault="00000000" w:rsidRPr="00000000" w14:paraId="00000004">
      <w:pPr>
        <w:spacing w:after="140" w:before="140" w:line="21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•Sistemak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funtzio multzoa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osatzen du eta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ardatz birtualetan oinarriturik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irudika daiteke.</w:t>
      </w:r>
    </w:p>
    <w:p w:rsidR="00000000" w:rsidDel="00000000" w:rsidP="00000000" w:rsidRDefault="00000000" w:rsidRPr="00000000" w14:paraId="00000005">
      <w:pPr>
        <w:spacing w:after="140" w:before="140" w:line="21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•Sistema bat beste sistema baten baitan kokatzen da eta beste hainbat sistemekin harremana du.</w:t>
      </w:r>
    </w:p>
    <w:p w:rsidR="00000000" w:rsidDel="00000000" w:rsidP="00000000" w:rsidRDefault="00000000" w:rsidRPr="00000000" w14:paraId="00000006">
      <w:pPr>
        <w:spacing w:after="140" w:before="140" w:line="21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•Taldea sistema konplexu edo azpisistema moduan ulertzen da, beste sistemekin harremana duen sistema.</w:t>
      </w:r>
    </w:p>
    <w:p w:rsidR="00000000" w:rsidDel="00000000" w:rsidP="00000000" w:rsidRDefault="00000000" w:rsidRPr="00000000" w14:paraId="00000007">
      <w:pPr>
        <w:spacing w:after="140" w:before="140" w:line="21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•Taldearen dinamikak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banakoen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taldearen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erakundearen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eta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kulturaren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garrantzia azaleratzen du.</w:t>
      </w:r>
    </w:p>
    <w:p w:rsidR="00000000" w:rsidDel="00000000" w:rsidP="00000000" w:rsidRDefault="00000000" w:rsidRPr="00000000" w14:paraId="00000008">
      <w:pPr>
        <w:spacing w:after="40" w:before="140" w:lineRule="auto"/>
        <w:jc w:val="both"/>
        <w:rPr>
          <w:rFonts w:ascii="Calibri" w:cs="Calibri" w:eastAsia="Calibri" w:hAnsi="Calibri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PRINTZIPIO erregulatzaileak:</w:t>
      </w:r>
    </w:p>
    <w:p w:rsidR="00000000" w:rsidDel="00000000" w:rsidP="00000000" w:rsidRDefault="00000000" w:rsidRPr="00000000" w14:paraId="00000009">
      <w:pPr>
        <w:spacing w:after="40" w:before="1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ISOMORFIA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azpisistemen artean.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Azpisistemek egitura, funtzio eta dinamika antzekoa dute, sistemaren barne oreka bermatuz.</w:t>
      </w:r>
    </w:p>
    <w:p w:rsidR="00000000" w:rsidDel="00000000" w:rsidP="00000000" w:rsidRDefault="00000000" w:rsidRPr="00000000" w14:paraId="0000000A">
      <w:pPr>
        <w:spacing w:after="40" w:before="1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Hierarkizazioa.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Sistema konplexuek hierarkizatzeko joera dute. Sistemaren identitatearen mantentzearekin eta beste sistemekiko irazkortasunarekin harremana du.</w:t>
      </w:r>
    </w:p>
    <w:p w:rsidR="00000000" w:rsidDel="00000000" w:rsidP="00000000" w:rsidRDefault="00000000" w:rsidRPr="00000000" w14:paraId="0000000B">
      <w:pPr>
        <w:spacing w:after="40" w:before="12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Azpisistemen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autonomia erlatiboa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Azpisistema bakoitzean ematen diren aldaketek eragina dute beste azpisistemengan.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Berrikuntza eta gatazken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kudeaketa ahalbidetzen du.</w:t>
      </w:r>
    </w:p>
    <w:p w:rsidR="00000000" w:rsidDel="00000000" w:rsidP="00000000" w:rsidRDefault="00000000" w:rsidRPr="00000000" w14:paraId="0000000C">
      <w:pPr>
        <w:spacing w:after="40" w:before="12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DESBERDINTZE – INTEGRAZIO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joerak.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Itxuraz antzekoa den zerbaitetan desberdintasunak ikusteko ahalmenak azpisistemaren identitatea indartzea dakar.</w:t>
      </w:r>
    </w:p>
    <w:p w:rsidR="00000000" w:rsidDel="00000000" w:rsidP="00000000" w:rsidRDefault="00000000" w:rsidRPr="00000000" w14:paraId="0000000D">
      <w:pPr>
        <w:spacing w:after="40" w:before="12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Itxuraz desberdina den zerbaitetan antzekotasunak antzemateak ezagutza partekatua eta helburu komunak bultzatzen ditu.  </w:t>
      </w:r>
    </w:p>
    <w:p w:rsidR="00000000" w:rsidDel="00000000" w:rsidP="00000000" w:rsidRDefault="00000000" w:rsidRPr="00000000" w14:paraId="0000000E">
      <w:pPr>
        <w:pStyle w:val="Heading3"/>
        <w:jc w:val="both"/>
        <w:rPr>
          <w:rFonts w:ascii="Calibri" w:cs="Calibri" w:eastAsia="Calibri" w:hAnsi="Calibri"/>
        </w:rPr>
      </w:pPr>
      <w:bookmarkStart w:colFirst="0" w:colLast="0" w:name="_jev6zqxmm8ph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2. OINARRIZKO DIMENTSIOAK</w:t>
      </w:r>
    </w:p>
    <w:p w:rsidR="00000000" w:rsidDel="00000000" w:rsidP="00000000" w:rsidRDefault="00000000" w:rsidRPr="00000000" w14:paraId="0000000F">
      <w:pPr>
        <w:spacing w:after="120" w:before="180" w:line="216" w:lineRule="auto"/>
        <w:jc w:val="both"/>
        <w:rPr>
          <w:rFonts w:ascii="Calibri" w:cs="Calibri" w:eastAsia="Calibri" w:hAnsi="Calibri"/>
          <w:i w:val="1"/>
          <w:color w:val="3333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3333ff"/>
          <w:sz w:val="24"/>
          <w:szCs w:val="24"/>
          <w:rtl w:val="0"/>
        </w:rPr>
        <w:t xml:space="preserve">Boterea: baliabideen asimetria/simetriaren arabera (indibiduazioaren dimentsioa)</w:t>
      </w:r>
    </w:p>
    <w:p w:rsidR="00000000" w:rsidDel="00000000" w:rsidP="00000000" w:rsidRDefault="00000000" w:rsidRPr="00000000" w14:paraId="00000010">
      <w:pPr>
        <w:spacing w:after="120" w:before="80" w:line="21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i w:val="1"/>
          <w:color w:val="d22604"/>
          <w:sz w:val="24"/>
          <w:szCs w:val="24"/>
          <w:rtl w:val="0"/>
        </w:rPr>
        <w:t xml:space="preserve">Botere asimetrikoa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(talde-arteko poloa)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 hierarkizatua, talde-arteko edota kategoria arteko errealitatetik definitutako estatusen arabera egituratua.</w:t>
      </w:r>
    </w:p>
    <w:p w:rsidR="00000000" w:rsidDel="00000000" w:rsidP="00000000" w:rsidRDefault="00000000" w:rsidRPr="00000000" w14:paraId="00000011">
      <w:pPr>
        <w:spacing w:after="120" w:before="120" w:line="21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color w:val="d22604"/>
          <w:sz w:val="24"/>
          <w:szCs w:val="24"/>
          <w:rtl w:val="0"/>
        </w:rPr>
        <w:t xml:space="preserve">Botere simetrikoa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(pertsonarteko poloa)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pertsonaren autonomiarako joera. Rolak eta estatusa pertsonarteko errealitate berdintasunetik egituratua.</w:t>
      </w:r>
    </w:p>
    <w:p w:rsidR="00000000" w:rsidDel="00000000" w:rsidP="00000000" w:rsidRDefault="00000000" w:rsidRPr="00000000" w14:paraId="00000012">
      <w:pPr>
        <w:spacing w:after="120" w:before="160" w:lineRule="auto"/>
        <w:jc w:val="both"/>
        <w:rPr>
          <w:rFonts w:ascii="Calibri" w:cs="Calibri" w:eastAsia="Calibri" w:hAnsi="Calibri"/>
          <w:i w:val="1"/>
          <w:color w:val="3333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color w:val="3333ff"/>
          <w:sz w:val="28"/>
          <w:szCs w:val="28"/>
          <w:rtl w:val="0"/>
        </w:rPr>
        <w:t xml:space="preserve">Gatazken kudeaketa:   desberdintasunak onartu edo ekidin (taldekotasunaren dimentsioa)</w:t>
      </w:r>
    </w:p>
    <w:p w:rsidR="00000000" w:rsidDel="00000000" w:rsidP="00000000" w:rsidRDefault="00000000" w:rsidRPr="00000000" w14:paraId="00000013">
      <w:pPr>
        <w:spacing w:before="160" w:line="216" w:lineRule="auto"/>
        <w:jc w:val="both"/>
        <w:rPr>
          <w:rFonts w:ascii="Calibri" w:cs="Calibri" w:eastAsia="Calibri" w:hAnsi="Calibri"/>
          <w:sz w:val="36"/>
          <w:szCs w:val="36"/>
          <w:vertAlign w:val="subscript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sub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i w:val="1"/>
          <w:color w:val="d22604"/>
          <w:sz w:val="36"/>
          <w:szCs w:val="36"/>
          <w:vertAlign w:val="subscript"/>
          <w:rtl w:val="0"/>
        </w:rPr>
        <w:t xml:space="preserve">Onartu</w:t>
      </w: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vertAlign w:val="sub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(polo indibiduala= taldekideen motibazio eta ezaugarri indibidualak):</w:t>
      </w:r>
    </w:p>
    <w:p w:rsidR="00000000" w:rsidDel="00000000" w:rsidP="00000000" w:rsidRDefault="00000000" w:rsidRPr="00000000" w14:paraId="00000014">
      <w:pPr>
        <w:spacing w:before="160" w:line="216" w:lineRule="auto"/>
        <w:jc w:val="both"/>
        <w:rPr>
          <w:rFonts w:ascii="Calibri" w:cs="Calibri" w:eastAsia="Calibri" w:hAnsi="Calibri"/>
          <w:sz w:val="36"/>
          <w:szCs w:val="36"/>
          <w:vertAlign w:val="subscript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     -</w:t>
      </w: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vertAlign w:val="subscript"/>
          <w:rtl w:val="0"/>
        </w:rPr>
        <w:t xml:space="preserve">Hierarkizatua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 izanez gero boterearen esparruak lortzeko   borroka.</w:t>
      </w:r>
    </w:p>
    <w:p w:rsidR="00000000" w:rsidDel="00000000" w:rsidP="00000000" w:rsidRDefault="00000000" w:rsidRPr="00000000" w14:paraId="00000015">
      <w:pPr>
        <w:spacing w:before="160" w:line="216" w:lineRule="auto"/>
        <w:jc w:val="both"/>
        <w:rPr>
          <w:rFonts w:ascii="Calibri" w:cs="Calibri" w:eastAsia="Calibri" w:hAnsi="Calibri"/>
          <w:sz w:val="36"/>
          <w:szCs w:val="36"/>
          <w:vertAlign w:val="subscript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          </w:t>
        <w:tab/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vertAlign w:val="subscript"/>
          <w:rtl w:val="0"/>
        </w:rPr>
        <w:t xml:space="preserve">Hierarkizatua ez bada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 taldea egitasmo komun baterako   lidergo partekatua abiatzen da.</w:t>
      </w:r>
    </w:p>
    <w:p w:rsidR="00000000" w:rsidDel="00000000" w:rsidP="00000000" w:rsidRDefault="00000000" w:rsidRPr="00000000" w14:paraId="00000016">
      <w:pPr>
        <w:spacing w:before="160" w:line="216" w:lineRule="auto"/>
        <w:jc w:val="both"/>
        <w:rPr>
          <w:rFonts w:ascii="Calibri" w:cs="Calibri" w:eastAsia="Calibri" w:hAnsi="Calibri"/>
          <w:sz w:val="36"/>
          <w:szCs w:val="36"/>
          <w:vertAlign w:val="subscript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  - </w:t>
      </w:r>
      <w:r w:rsidDel="00000000" w:rsidR="00000000" w:rsidRPr="00000000">
        <w:rPr>
          <w:rFonts w:ascii="Calibri" w:cs="Calibri" w:eastAsia="Calibri" w:hAnsi="Calibri"/>
          <w:i w:val="1"/>
          <w:color w:val="d22604"/>
          <w:sz w:val="36"/>
          <w:szCs w:val="36"/>
          <w:vertAlign w:val="subscript"/>
          <w:rtl w:val="0"/>
        </w:rPr>
        <w:t xml:space="preserve">Ekidin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 (talde-poloa= taldearen balore, sinesmen eta helburuak):</w:t>
      </w:r>
    </w:p>
    <w:p w:rsidR="00000000" w:rsidDel="00000000" w:rsidP="00000000" w:rsidRDefault="00000000" w:rsidRPr="00000000" w14:paraId="00000017">
      <w:pPr>
        <w:spacing w:before="160" w:line="216" w:lineRule="auto"/>
        <w:jc w:val="both"/>
        <w:rPr>
          <w:rFonts w:ascii="Calibri" w:cs="Calibri" w:eastAsia="Calibri" w:hAnsi="Calibri"/>
          <w:sz w:val="36"/>
          <w:szCs w:val="36"/>
          <w:vertAlign w:val="subscript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vertAlign w:val="subscript"/>
          <w:rtl w:val="0"/>
        </w:rPr>
        <w:t xml:space="preserve">- Hierarkizatua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 izanez gero</w:t>
      </w: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vertAlign w:val="subscript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aginteak desberdintasunak   azaltzea oztopatzen du.</w:t>
      </w:r>
    </w:p>
    <w:p w:rsidR="00000000" w:rsidDel="00000000" w:rsidP="00000000" w:rsidRDefault="00000000" w:rsidRPr="00000000" w14:paraId="00000018">
      <w:pPr>
        <w:spacing w:before="160" w:line="216" w:lineRule="auto"/>
        <w:jc w:val="both"/>
        <w:rPr>
          <w:rFonts w:ascii="Calibri" w:cs="Calibri" w:eastAsia="Calibri" w:hAnsi="Calibri"/>
          <w:sz w:val="36"/>
          <w:szCs w:val="36"/>
          <w:vertAlign w:val="subscript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    - </w:t>
      </w: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vertAlign w:val="subscript"/>
          <w:rtl w:val="0"/>
        </w:rPr>
        <w:t xml:space="preserve">Hierarkizatua ez bada</w:t>
      </w:r>
      <w:r w:rsidDel="00000000" w:rsidR="00000000" w:rsidRPr="00000000">
        <w:rPr>
          <w:rFonts w:ascii="Calibri" w:cs="Calibri" w:eastAsia="Calibri" w:hAnsi="Calibri"/>
          <w:sz w:val="36"/>
          <w:szCs w:val="36"/>
          <w:vertAlign w:val="subscript"/>
          <w:rtl w:val="0"/>
        </w:rPr>
        <w:t xml:space="preserve">, taldeak desberdintasunak ekiditen   ditu.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3- AZTERKETA MAILAK</w:t>
      </w:r>
    </w:p>
    <w:p w:rsidR="00000000" w:rsidDel="00000000" w:rsidP="00000000" w:rsidRDefault="00000000" w:rsidRPr="00000000" w14:paraId="0000001B">
      <w:pPr>
        <w:spacing w:after="80" w:before="80" w:line="228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d22604"/>
          <w:sz w:val="24"/>
          <w:szCs w:val="24"/>
          <w:rtl w:val="0"/>
        </w:rPr>
        <w:t xml:space="preserve">Maila kulturala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sinesmen eta balioak osatua.</w:t>
      </w:r>
    </w:p>
    <w:p w:rsidR="00000000" w:rsidDel="00000000" w:rsidP="00000000" w:rsidRDefault="00000000" w:rsidRPr="00000000" w14:paraId="0000001C">
      <w:pPr>
        <w:spacing w:after="60" w:before="60" w:line="22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Taldearen egonkortasuna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(kolektibismoa),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gatazkaren   ekiditea.</w:t>
      </w:r>
    </w:p>
    <w:p w:rsidR="00000000" w:rsidDel="00000000" w:rsidP="00000000" w:rsidRDefault="00000000" w:rsidRPr="00000000" w14:paraId="0000001D">
      <w:pPr>
        <w:spacing w:after="60" w:before="60" w:line="228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Gizabanakoaren gainditzea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indibidualismoa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), gatazka   onartzea. Gatazkari aurre egitea.</w:t>
      </w:r>
    </w:p>
    <w:p w:rsidR="00000000" w:rsidDel="00000000" w:rsidP="00000000" w:rsidRDefault="00000000" w:rsidRPr="00000000" w14:paraId="0000001E">
      <w:pPr>
        <w:spacing w:after="60" w:before="60" w:line="228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d22604"/>
          <w:sz w:val="24"/>
          <w:szCs w:val="24"/>
          <w:rtl w:val="0"/>
        </w:rPr>
        <w:t xml:space="preserve">Talde-arteko edota kategoria-arteko maila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posizio   sozioestruktural desberdinen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arabera dago antolatua   eta maila soziokognitiboan du eragina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  (menperatzaileak/menperatuak)</w:t>
      </w:r>
    </w:p>
    <w:p w:rsidR="00000000" w:rsidDel="00000000" w:rsidP="00000000" w:rsidRDefault="00000000" w:rsidRPr="00000000" w14:paraId="0000001F">
      <w:pPr>
        <w:spacing w:after="60" w:before="60" w:line="228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before="1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d22604"/>
          <w:sz w:val="24"/>
          <w:szCs w:val="24"/>
          <w:rtl w:val="0"/>
        </w:rPr>
        <w:t xml:space="preserve">Taldearen baitan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pertsonarteko dinamikarekin du   lotura, esanahi komunen eta posizio sozialen adostean  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pertsonarteko eta talde-arteko elkarrekintza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21">
      <w:pPr>
        <w:spacing w:after="140" w:before="1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d22604"/>
          <w:sz w:val="24"/>
          <w:szCs w:val="24"/>
          <w:rtl w:val="0"/>
        </w:rPr>
        <w:t xml:space="preserve">Maila pertsonala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ezaugarri pertsonalen araberakoa,   afinitateak, zereginarekiko konpetentzia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,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autoritatearekiko eta berdinekiko harremana.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685800</wp:posOffset>
            </wp:positionH>
            <wp:positionV relativeFrom="paragraph">
              <wp:posOffset>142875</wp:posOffset>
            </wp:positionV>
            <wp:extent cx="4576763" cy="3498583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6763" cy="34985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708.6614173228347" w:firstLine="0"/>
        <w:rPr/>
      </w:pPr>
      <w:r w:rsidDel="00000000" w:rsidR="00000000" w:rsidRPr="00000000">
        <w:rPr/>
        <w:drawing>
          <wp:inline distB="114300" distT="114300" distL="114300" distR="114300">
            <wp:extent cx="6881813" cy="5384893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81813" cy="53848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886165" cy="53482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86165" cy="5348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42799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7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IKUSPEGI SISTEMIKOA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Balore kultural  kolektibistak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Talde gatazka ekidin eta Identitate sozial agerikoa  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Gizabanakoen kontrola talde balioekin (tradizioak, solidaritatea, taldearekiko leialtasuna, ea.)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Balore kultural Indibidualistak 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Taldearen gatazka onartzen da, identitate sozial anitza eta despertsonalizazio maila baxua 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Gizabanakoen kontrola balio indibidualistekin (errendimendua, efikazia)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