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312" w:lineRule="auto"/>
        <w:contextualSpacing w:val="0"/>
        <w:rPr>
          <w:rFonts w:ascii="Calibri" w:cs="Calibri" w:eastAsia="Calibri" w:hAnsi="Calibri"/>
          <w:sz w:val="28"/>
          <w:szCs w:val="28"/>
          <w:u w:val="single"/>
        </w:rPr>
      </w:pPr>
      <w:r w:rsidDel="00000000" w:rsidR="00000000" w:rsidRPr="00000000">
        <w:rPr>
          <w:rFonts w:ascii="Calibri" w:cs="Calibri" w:eastAsia="Calibri" w:hAnsi="Calibri"/>
          <w:sz w:val="28"/>
          <w:szCs w:val="28"/>
          <w:u w:val="single"/>
          <w:rtl w:val="0"/>
        </w:rPr>
        <w:t xml:space="preserve">EL USO DEL GERUNDIO</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12" w:lineRule="auto"/>
        <w:contextualSpacing w:val="0"/>
        <w:rPr>
          <w:rFonts w:ascii="Calibri" w:cs="Calibri" w:eastAsia="Calibri" w:hAnsi="Calibri"/>
        </w:rPr>
      </w:pPr>
      <w:r w:rsidDel="00000000" w:rsidR="00000000" w:rsidRPr="00000000">
        <w:rPr>
          <w:rFonts w:ascii="Calibri" w:cs="Calibri" w:eastAsia="Calibri" w:hAnsi="Calibri"/>
          <w:rtl w:val="0"/>
        </w:rPr>
        <w:t xml:space="preserve">Un gerundio está bien utilizado solo si respeta estas tres reglas.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12"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hd w:fill="auto" w:val="clear"/>
        <w:spacing w:line="312" w:lineRule="auto"/>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Tiene que haber coincidencia de sujeto.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 Con un gerundio, la accion puede ser llevada a cabo por cualquiera, dado que no tiene formas distintas para cada persona, por lo tanto, el sujeto de la oración principal y el sujeto del gerundio tienen que ser el mismo. No se puede aceptar el gerundio como complemento, adjetivo de un nombre, entonces cambiaremos el gerundio por una </w:t>
      </w:r>
      <w:r w:rsidDel="00000000" w:rsidR="00000000" w:rsidRPr="00000000">
        <w:rPr>
          <w:rFonts w:ascii="Calibri" w:cs="Calibri" w:eastAsia="Calibri" w:hAnsi="Calibri"/>
          <w:u w:val="single"/>
          <w:rtl w:val="0"/>
        </w:rPr>
        <w:t xml:space="preserve">oración de relativo. </w:t>
      </w:r>
      <w:r w:rsidDel="00000000" w:rsidR="00000000" w:rsidRPr="00000000">
        <w:rPr>
          <w:rFonts w:ascii="Calibri" w:cs="Calibri" w:eastAsia="Calibri" w:hAnsi="Calibri"/>
          <w:rtl w:val="0"/>
        </w:rPr>
        <w:t xml:space="preserve">“Me encontré con un hombre dando gritos” Lo lógico en esta oración es pensar que el que está dando gritos es otra persona diferente al sujeto (yo) y eso no es correcto, ya que, como hemos dicho, el sujeto tiene que ser el mismo. Podemos entender que el que estaba dando gritos era yo, que mientras yo estaba gritando me encontré a un hombre, de ese modo la oración sería correcta. Encontramos dos </w:t>
      </w:r>
      <w:r w:rsidDel="00000000" w:rsidR="00000000" w:rsidRPr="00000000">
        <w:rPr>
          <w:rFonts w:ascii="Calibri" w:cs="Calibri" w:eastAsia="Calibri" w:hAnsi="Calibri"/>
          <w:u w:val="single"/>
          <w:rtl w:val="0"/>
        </w:rPr>
        <w:t xml:space="preserve">excepciones</w:t>
      </w:r>
      <w:r w:rsidDel="00000000" w:rsidR="00000000" w:rsidRPr="00000000">
        <w:rPr>
          <w:rFonts w:ascii="Calibri" w:cs="Calibri" w:eastAsia="Calibri" w:hAnsi="Calibri"/>
          <w:rtl w:val="0"/>
        </w:rPr>
        <w:t xml:space="preserve">: </w:t>
      </w:r>
    </w:p>
    <w:p w:rsidR="00000000" w:rsidDel="00000000" w:rsidP="00000000" w:rsidRDefault="00000000" w:rsidRPr="00000000" w14:paraId="00000004">
      <w:pPr>
        <w:numPr>
          <w:ilvl w:val="1"/>
          <w:numId w:val="1"/>
        </w:numPr>
        <w:pBdr>
          <w:top w:space="0" w:sz="0" w:val="nil"/>
          <w:left w:space="0" w:sz="0" w:val="nil"/>
          <w:bottom w:space="0" w:sz="0" w:val="nil"/>
          <w:right w:space="0" w:sz="0" w:val="nil"/>
          <w:between w:space="0" w:sz="0" w:val="nil"/>
        </w:pBdr>
        <w:shd w:fill="auto" w:val="clear"/>
        <w:spacing w:line="312"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Algunos gerundios pueden tener un sujeto explícito distinto del sujeto del verbo principal. Se tratan de </w:t>
      </w:r>
      <w:r w:rsidDel="00000000" w:rsidR="00000000" w:rsidRPr="00000000">
        <w:rPr>
          <w:rFonts w:ascii="Calibri" w:cs="Calibri" w:eastAsia="Calibri" w:hAnsi="Calibri"/>
          <w:u w:val="single"/>
          <w:rtl w:val="0"/>
        </w:rPr>
        <w:t xml:space="preserve">construcciones absolutas.</w:t>
      </w:r>
      <w:r w:rsidDel="00000000" w:rsidR="00000000" w:rsidRPr="00000000">
        <w:rPr>
          <w:rtl w:val="0"/>
        </w:rPr>
        <w:t xml:space="preserve">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rtl w:val="0"/>
        </w:rPr>
        <w:t xml:space="preserve">n ese caso el gerundio lleva el sujeto detrás, y la construcción va entre comas. Se permite aunque el sujeto sea distinto “diciendolo Ana, lo entenderé”, el sujeto de entender soy yo pero el del gerundio es Ana, hay un sujeto explícito.</w:t>
      </w:r>
    </w:p>
    <w:p w:rsidR="00000000" w:rsidDel="00000000" w:rsidP="00000000" w:rsidRDefault="00000000" w:rsidRPr="00000000" w14:paraId="00000005">
      <w:pPr>
        <w:numPr>
          <w:ilvl w:val="1"/>
          <w:numId w:val="1"/>
        </w:numPr>
        <w:pBdr>
          <w:top w:space="0" w:sz="0" w:val="nil"/>
          <w:left w:space="0" w:sz="0" w:val="nil"/>
          <w:bottom w:space="0" w:sz="0" w:val="nil"/>
          <w:right w:space="0" w:sz="0" w:val="nil"/>
          <w:between w:space="0" w:sz="0" w:val="nil"/>
        </w:pBdr>
        <w:shd w:fill="auto" w:val="clear"/>
        <w:spacing w:line="312"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Con los</w:t>
      </w:r>
      <w:r w:rsidDel="00000000" w:rsidR="00000000" w:rsidRPr="00000000">
        <w:rPr>
          <w:rFonts w:ascii="Calibri" w:cs="Calibri" w:eastAsia="Calibri" w:hAnsi="Calibri"/>
          <w:u w:val="single"/>
          <w:rtl w:val="0"/>
        </w:rPr>
        <w:t xml:space="preserve"> verbos de percepción</w:t>
      </w:r>
      <w:r w:rsidDel="00000000" w:rsidR="00000000" w:rsidRPr="00000000">
        <w:rPr>
          <w:rFonts w:ascii="Calibri" w:cs="Calibri" w:eastAsia="Calibri" w:hAnsi="Calibri"/>
          <w:rtl w:val="0"/>
        </w:rPr>
        <w:t xml:space="preserve">. El sujeto del gerundio puede coincidir con el sujeto o con el OD del verbo principal. </w:t>
      </w:r>
      <w:r w:rsidDel="00000000" w:rsidR="00000000" w:rsidRPr="00000000">
        <w:rPr>
          <w:rFonts w:ascii="Calibri" w:cs="Calibri" w:eastAsia="Calibri" w:hAnsi="Calibri"/>
          <w:i w:val="1"/>
          <w:rtl w:val="0"/>
        </w:rPr>
        <w:t xml:space="preserve">Vi la estrella brillando</w:t>
      </w:r>
      <w:r w:rsidDel="00000000" w:rsidR="00000000" w:rsidRPr="00000000">
        <w:rPr>
          <w:rFonts w:ascii="Calibri" w:cs="Calibri" w:eastAsia="Calibri" w:hAnsi="Calibri"/>
          <w:rtl w:val="0"/>
        </w:rPr>
        <w:t xml:space="preserve">. Con estos verbos el sujeto del gerundio tiene dos posibilidades, hay que intentar evitar la ambigüedad. Ver, oir, encontrar, hallar, mirar, descubrir…</w:t>
      </w:r>
    </w:p>
    <w:p w:rsidR="00000000" w:rsidDel="00000000" w:rsidP="00000000" w:rsidRDefault="00000000" w:rsidRPr="00000000" w14:paraId="00000006">
      <w:pPr>
        <w:numPr>
          <w:ilvl w:val="1"/>
          <w:numId w:val="1"/>
        </w:numPr>
        <w:pBdr>
          <w:top w:space="0" w:sz="0" w:val="nil"/>
          <w:left w:space="0" w:sz="0" w:val="nil"/>
          <w:bottom w:space="0" w:sz="0" w:val="nil"/>
          <w:right w:space="0" w:sz="0" w:val="nil"/>
          <w:between w:space="0" w:sz="0" w:val="nil"/>
        </w:pBdr>
        <w:shd w:fill="auto" w:val="clear"/>
        <w:spacing w:line="312" w:lineRule="auto"/>
        <w:ind w:left="144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Modelo vistiendo un traje de Versace.</w:t>
      </w:r>
      <w:r w:rsidDel="00000000" w:rsidR="00000000" w:rsidRPr="00000000">
        <w:rPr>
          <w:rFonts w:ascii="Calibri" w:cs="Calibri" w:eastAsia="Calibri" w:hAnsi="Calibri"/>
          <w:rtl w:val="0"/>
        </w:rPr>
        <w:t xml:space="preserve"> Gerundios que aparecen como pie de foto, para explicar lo que aparece en una ilustración o en una imagen. Es un uso </w:t>
      </w:r>
      <w:r w:rsidDel="00000000" w:rsidR="00000000" w:rsidRPr="00000000">
        <w:rPr>
          <w:rFonts w:ascii="Calibri" w:cs="Calibri" w:eastAsia="Calibri" w:hAnsi="Calibri"/>
          <w:u w:val="single"/>
          <w:rtl w:val="0"/>
        </w:rPr>
        <w:t xml:space="preserve">correcto</w:t>
      </w:r>
      <w:r w:rsidDel="00000000" w:rsidR="00000000" w:rsidRPr="00000000">
        <w:rPr>
          <w:rFonts w:ascii="Calibri" w:cs="Calibri" w:eastAsia="Calibri" w:hAnsi="Calibri"/>
          <w:rtl w:val="0"/>
        </w:rPr>
        <w:t xml:space="preserve"> y facil de entender.</w:t>
      </w:r>
    </w:p>
    <w:p w:rsidR="00000000" w:rsidDel="00000000" w:rsidP="00000000" w:rsidRDefault="00000000" w:rsidRPr="00000000" w14:paraId="00000007">
      <w:pPr>
        <w:numPr>
          <w:ilvl w:val="1"/>
          <w:numId w:val="1"/>
        </w:numPr>
        <w:pBdr>
          <w:top w:space="0" w:sz="0" w:val="nil"/>
          <w:left w:space="0" w:sz="0" w:val="nil"/>
          <w:bottom w:space="0" w:sz="0" w:val="nil"/>
          <w:right w:space="0" w:sz="0" w:val="nil"/>
          <w:between w:space="0" w:sz="0" w:val="nil"/>
        </w:pBdr>
        <w:shd w:fill="auto" w:val="clear"/>
        <w:spacing w:line="312"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Clavo ardiendo y agua hirviendo se aceptan.</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spacing w:line="312" w:lineRule="auto"/>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La acción del gerundio tiene que realizarse al mismo tiempo o antes que la acción del verbo principal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El gerundio siempre indica una acción simultánea, si esta acción no es simultánea, tiene que ser anterior al verbo, </w:t>
      </w:r>
      <w:r w:rsidDel="00000000" w:rsidR="00000000" w:rsidRPr="00000000">
        <w:rPr>
          <w:rFonts w:ascii="Calibri" w:cs="Calibri" w:eastAsia="Calibri" w:hAnsi="Calibri"/>
          <w:u w:val="single"/>
          <w:rtl w:val="0"/>
        </w:rPr>
        <w:t xml:space="preserve">en ningún caso el gerundio puede indicar posterioridad. </w:t>
      </w:r>
      <w:r w:rsidDel="00000000" w:rsidR="00000000" w:rsidRPr="00000000">
        <w:rPr>
          <w:rFonts w:ascii="Calibri" w:cs="Calibri" w:eastAsia="Calibri" w:hAnsi="Calibri"/>
          <w:rtl w:val="0"/>
        </w:rPr>
        <w:t xml:space="preserve">“*Nació en Leioa, marchándose a los 11 años”, primero nació y luego se marchó, por lo tanto, es incorrecta ya que el gerundio debe de referirse a una acción anterior que el verbo principal. </w:t>
      </w:r>
      <w:r w:rsidDel="00000000" w:rsidR="00000000" w:rsidRPr="00000000">
        <w:rPr>
          <w:rFonts w:ascii="Calibri" w:cs="Calibri" w:eastAsia="Calibri" w:hAnsi="Calibri"/>
          <w:b w:val="1"/>
          <w:rtl w:val="0"/>
        </w:rPr>
        <w:t xml:space="preserve">Excepciones:</w:t>
      </w:r>
    </w:p>
    <w:p w:rsidR="00000000" w:rsidDel="00000000" w:rsidP="00000000" w:rsidRDefault="00000000" w:rsidRPr="00000000" w14:paraId="00000009">
      <w:pPr>
        <w:numPr>
          <w:ilvl w:val="1"/>
          <w:numId w:val="1"/>
        </w:numPr>
        <w:pBdr>
          <w:top w:space="0" w:sz="0" w:val="nil"/>
          <w:left w:space="0" w:sz="0" w:val="nil"/>
          <w:bottom w:space="0" w:sz="0" w:val="nil"/>
          <w:right w:space="0" w:sz="0" w:val="nil"/>
          <w:between w:space="0" w:sz="0" w:val="nil"/>
        </w:pBdr>
        <w:shd w:fill="auto" w:val="clear"/>
        <w:spacing w:line="312"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Se puede interpretar que la acción expresada por el gerundio es anterior a la que expresa el verbo principal. </w:t>
      </w:r>
      <w:r w:rsidDel="00000000" w:rsidR="00000000" w:rsidRPr="00000000">
        <w:rPr>
          <w:rFonts w:ascii="Calibri" w:cs="Calibri" w:eastAsia="Calibri" w:hAnsi="Calibri"/>
          <w:i w:val="1"/>
          <w:rtl w:val="0"/>
        </w:rPr>
        <w:t xml:space="preserve">Adelgazó comiendo esparragos.</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line="312"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El gerundio tiene que expresar una acción que tenga algo que ver en </w:t>
      </w:r>
      <w:r w:rsidDel="00000000" w:rsidR="00000000" w:rsidRPr="00000000">
        <w:rPr>
          <w:rFonts w:ascii="Calibri" w:cs="Calibri" w:eastAsia="Calibri" w:hAnsi="Calibri"/>
          <w:u w:val="single"/>
          <w:rtl w:val="0"/>
        </w:rPr>
        <w:t xml:space="preserve">tiempo, modo, causa o acción</w:t>
      </w:r>
      <w:r w:rsidDel="00000000" w:rsidR="00000000" w:rsidRPr="00000000">
        <w:rPr>
          <w:rFonts w:ascii="Calibri" w:cs="Calibri" w:eastAsia="Calibri" w:hAnsi="Calibri"/>
          <w:rtl w:val="0"/>
        </w:rPr>
        <w:t xml:space="preserve"> con la oración principal. La acción que se expresa el gerundio tiene que indicar una condición en la que se desarrolla el verbo principal. No podemos colocar un gerundio que no tenga nada que ver con la acción que se desarrolla en la oración principal.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rtl w:val="0"/>
        </w:rPr>
        <w:t xml:space="preserve">USOS INCORRECTOS DEL GERUNDIO→ </w:t>
      </w:r>
      <w:r w:rsidDel="00000000" w:rsidR="00000000" w:rsidRPr="00000000">
        <w:rPr>
          <w:rFonts w:ascii="Calibri" w:cs="Calibri" w:eastAsia="Calibri" w:hAnsi="Calibri"/>
          <w:rtl w:val="0"/>
        </w:rPr>
        <w:t xml:space="preserve">Un gerundio está mal utilizado cuando expresa una relación con la acción del verbo principal distinta de las descritas.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12" w:lineRule="auto"/>
        <w:contextualSpacing w:val="0"/>
        <w:rPr>
          <w:rFonts w:ascii="Calibri" w:cs="Calibri" w:eastAsia="Calibri" w:hAnsi="Calibri"/>
        </w:rPr>
      </w:pPr>
      <w:r w:rsidDel="00000000" w:rsidR="00000000" w:rsidRPr="00000000">
        <w:rPr>
          <w:rFonts w:ascii="Calibri" w:cs="Calibri" w:eastAsia="Calibri" w:hAnsi="Calibri"/>
          <w:rtl w:val="0"/>
        </w:rPr>
        <w:t xml:space="preserve">El gerundio no puede ir con el atributo.</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