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stugorputza"/>
        <w:spacing w:lineRule="auto" w:line="288"/>
        <w:ind w:hanging="0"/>
        <w:jc w:val="center"/>
        <w:rPr/>
      </w:pPr>
      <w:r>
        <w:rPr>
          <w:b w:val="false"/>
          <w:bCs w:val="false"/>
          <w:sz w:val="26"/>
          <w:szCs w:val="26"/>
          <w:u w:val="none"/>
          <w:shd w:fill="FFFFFF" w:val="clear"/>
          <w:lang w:val="eu-ES"/>
        </w:rPr>
        <w:tab/>
      </w:r>
      <w:r>
        <w:rPr>
          <w:b/>
          <w:bCs/>
          <w:color w:val="FF3333"/>
          <w:sz w:val="52"/>
          <w:szCs w:val="52"/>
          <w:u w:val="none"/>
          <w:shd w:fill="FFFFFF" w:val="clear"/>
          <w:lang w:val="eu-ES"/>
        </w:rPr>
        <w:t>BRONISLAW MALINOWSKI</w:t>
      </w:r>
    </w:p>
    <w:p>
      <w:pPr>
        <w:pStyle w:val="Testugorputza"/>
        <w:spacing w:lineRule="auto" w:line="288"/>
        <w:ind w:hanging="0"/>
        <w:jc w:val="center"/>
        <w:rPr>
          <w:b/>
          <w:b/>
          <w:bCs/>
          <w:color w:val="FF3333"/>
          <w:sz w:val="52"/>
          <w:szCs w:val="52"/>
          <w:u w:val="none"/>
          <w:shd w:fill="FFFFFF" w:val="clear"/>
          <w:lang w:val="eu-ES"/>
        </w:rPr>
      </w:pPr>
      <w:r>
        <w:rPr>
          <w:b/>
          <w:bCs/>
          <w:i/>
          <w:iCs/>
          <w:color w:val="000000"/>
          <w:sz w:val="52"/>
          <w:szCs w:val="52"/>
          <w:u w:val="none"/>
          <w:shd w:fill="FFFFFF" w:val="clear"/>
          <w:lang w:val="eu-ES"/>
        </w:rPr>
        <w:tab/>
        <w:t xml:space="preserve">Argonauts of the Western Pacific </w:t>
      </w:r>
    </w:p>
    <w:p>
      <w:pPr>
        <w:pStyle w:val="Testugorputza"/>
        <w:spacing w:lineRule="auto" w:line="288"/>
        <w:ind w:hanging="0"/>
        <w:jc w:val="both"/>
        <w:rPr/>
      </w:pPr>
      <w:r>
        <w:rPr>
          <w:b w:val="false"/>
          <w:bCs w:val="false"/>
          <w:sz w:val="26"/>
          <w:szCs w:val="26"/>
          <w:u w:val="none"/>
          <w:shd w:fill="FFFFFF" w:val="clear"/>
          <w:lang w:val="eu-ES"/>
        </w:rPr>
        <w:tab/>
      </w:r>
    </w:p>
    <w:p>
      <w:pPr>
        <w:pStyle w:val="Testugorputza"/>
        <w:spacing w:lineRule="auto" w:line="288"/>
        <w:ind w:hanging="0"/>
        <w:jc w:val="both"/>
        <w:rPr/>
      </w:pPr>
      <w:r>
        <w:rPr>
          <w:b w:val="false"/>
          <w:bCs w:val="false"/>
          <w:sz w:val="26"/>
          <w:szCs w:val="26"/>
          <w:u w:val="none"/>
          <w:shd w:fill="FFFFFF" w:val="clear"/>
          <w:lang w:val="eu-ES"/>
        </w:rPr>
        <w:tab/>
        <w:t xml:space="preserve">Aurrean dugun testua </w:t>
      </w:r>
      <w:r>
        <w:rPr>
          <w:b w:val="false"/>
          <w:bCs w:val="false"/>
          <w:i/>
          <w:iCs/>
          <w:sz w:val="26"/>
          <w:szCs w:val="26"/>
          <w:u w:val="none"/>
          <w:shd w:fill="FFFFFF" w:val="clear"/>
          <w:lang w:val="eu-ES"/>
        </w:rPr>
        <w:t xml:space="preserve">Los argonautas del Pacífico Occidental </w:t>
      </w:r>
      <w:r>
        <w:rPr>
          <w:b w:val="false"/>
          <w:bCs w:val="false"/>
          <w:i w:val="false"/>
          <w:iCs w:val="false"/>
          <w:sz w:val="26"/>
          <w:szCs w:val="26"/>
          <w:u w:val="none"/>
          <w:shd w:fill="FFFFFF" w:val="clear"/>
          <w:lang w:val="eu-ES"/>
        </w:rPr>
        <w:t>(1922)</w:t>
      </w:r>
      <w:r>
        <w:rPr>
          <w:b w:val="false"/>
          <w:bCs w:val="false"/>
          <w:i/>
          <w:iCs/>
          <w:sz w:val="26"/>
          <w:szCs w:val="26"/>
          <w:u w:val="none"/>
          <w:shd w:fill="FFFFFF" w:val="clear"/>
          <w:lang w:val="eu-ES"/>
        </w:rPr>
        <w:t xml:space="preserve"> </w:t>
      </w:r>
      <w:r>
        <w:rPr>
          <w:b w:val="false"/>
          <w:bCs w:val="false"/>
          <w:i w:val="false"/>
          <w:iCs w:val="false"/>
          <w:sz w:val="26"/>
          <w:szCs w:val="26"/>
          <w:u w:val="none"/>
          <w:shd w:fill="FFFFFF" w:val="clear"/>
          <w:lang w:val="eu-ES"/>
        </w:rPr>
        <w:t>lan mardularen sarrera da, zeinetan autoreak obra etnografikoa aurrera eramateko eta landa lana egiteko erabilitako teknikak, izandako zalantza eta oztopoak eta haiei aurre egiteko moduak kontatzen dituen. Aipaturiko lanaren autorea Bronislaw Malinowski dugu, 1884an Polonian jaioa, Krakovian zehazki, eta 1942an Coccecticuten (AEB) hil zen antropologo, etnologo eta soziologoa. Malinoswkik Erresuma Batuan, AEBetan eta Polinesian eman zuen bere bizitzaren gehiengoa, azken honetan landa-lana egiten ibili zelarik. Izan ere, bera izan zen landa-lanean oinarrituriko antropologiaren ordezkarietako bat eta erabili zuen metodoa ere nahiko berritzailea izan zen, behaketa parte-hartzailea.</w:t>
      </w:r>
    </w:p>
    <w:p>
      <w:pPr>
        <w:pStyle w:val="Testugorputza"/>
        <w:spacing w:lineRule="auto" w:line="288"/>
        <w:jc w:val="both"/>
        <w:rPr>
          <w:sz w:val="26"/>
          <w:szCs w:val="26"/>
        </w:rPr>
      </w:pPr>
      <w:r>
        <w:rPr>
          <w:b w:val="false"/>
          <w:bCs w:val="false"/>
          <w:i w:val="false"/>
          <w:iCs w:val="false"/>
          <w:sz w:val="26"/>
          <w:szCs w:val="26"/>
          <w:u w:val="none"/>
          <w:shd w:fill="FFFFFF" w:val="clear"/>
          <w:lang w:val="eu-ES"/>
        </w:rPr>
        <w:tab/>
        <w:t xml:space="preserve">Aurreko iruzkinetan, antropologiaren sorreran nagusi izandako bi paradigma aipatu ditugu, difusionismoa eta eboluzionismoa, zeinek kulturen eta gizarteen garapenari azalpen sendo bat eman nahi zieten. Aipatu dugun beste bat kulturalismoa da, azalpen eta lege natural horiek ukatu eta erlatibismo kulturalaren alde egiten duena; kultura bakoitza bere testuinguruan ikertu behar dela baieztatzen duen korrontea.  Malinoswkik, berriz, funtzionalismoaren bandera gogorki astindu zuen, kulturari eta gizarteko elementuei funtzio zehatz bat ezartzen dien korrontea. </w:t>
      </w:r>
    </w:p>
    <w:p>
      <w:pPr>
        <w:pStyle w:val="Testugorputza"/>
        <w:spacing w:lineRule="auto" w:line="288"/>
        <w:jc w:val="both"/>
        <w:rPr>
          <w:sz w:val="26"/>
          <w:szCs w:val="26"/>
        </w:rPr>
      </w:pPr>
      <w:r>
        <w:rPr>
          <w:b w:val="false"/>
          <w:bCs w:val="false"/>
          <w:i w:val="false"/>
          <w:iCs w:val="false"/>
          <w:sz w:val="26"/>
          <w:szCs w:val="26"/>
          <w:u w:val="none"/>
          <w:shd w:fill="FFFFFF" w:val="clear"/>
          <w:lang w:val="eu-ES"/>
        </w:rPr>
        <w:tab/>
        <w:t xml:space="preserve">Funtzionalismoaren baitan bi adar bereiz daitezke, Erresuma Batukoa, non Malinoswki izan zen aita pontekoa eta AEBetakoa, non Boasen ikasle izandako Margaret Mead eta Ruth Benedict nabarmendu ziren. Funtzionalismoa ikuspegi historikotik aldentzen da eta garapen biologikoari ere ez dio garrantziarik ematen. Horren ordez, kulturaren ikuskera funtzionala proposatu zuen, hau da, kultura norbanakoaren eta komunitatearen beharrak asetzeko tresna bezala ulertzen du eta kultura osatzen duen pieza bakoitzak paper zehatz bat jokatzen duela horretan. Organismo bizidun baten antzera ulertzen zuten gizartea, non organo bakoitzak funtzio bat betetzen duen organismoak funtzionatu eta iraun dezan. Malinowskik, esaterako, ohitura bezala ikusi zuen dominazio britainiarrak inposaturiko politika, Afrikako tribuentzat onuragarria zelakoan. </w:t>
      </w:r>
    </w:p>
    <w:p>
      <w:pPr>
        <w:pStyle w:val="Testugorputza"/>
        <w:spacing w:lineRule="auto" w:line="288"/>
        <w:jc w:val="both"/>
        <w:rPr>
          <w:sz w:val="26"/>
          <w:szCs w:val="26"/>
        </w:rPr>
      </w:pPr>
      <w:r>
        <w:rPr>
          <w:sz w:val="26"/>
          <w:szCs w:val="26"/>
        </w:rPr>
        <w:tab/>
        <w:t>Ikuskera kontserbadorea dela esan daiteke, gizartea era estatiko xamarrean irudikatzen baitu, non ezin daitezkeen aldaketarik egin eta non norbanakoak edo giza borondateak ez duen eragiteko ahalmen handirik. Ikuspegi hau ez zen antropologiara mugatu, baizik gizarte zientzietan nabarmendu zen orokorrean, non Emile Durkheim soziologoak ere pisu handia izan zuen.</w:t>
      </w:r>
    </w:p>
    <w:p>
      <w:pPr>
        <w:pStyle w:val="Testugorputza"/>
        <w:spacing w:lineRule="auto" w:line="288"/>
        <w:jc w:val="both"/>
        <w:rPr/>
      </w:pPr>
      <w:r>
        <w:rPr>
          <w:sz w:val="26"/>
          <w:szCs w:val="26"/>
        </w:rPr>
        <w:tab/>
        <w:t xml:space="preserve">Paradigma berriaren aitzindari izateaz gain, Malinoswkik ekarpen izugarria egin zuen antropologia zientzia bezala finkatzen, ordurarte espekulazio hutsa zenari, forma sendoa emanez eta diziplina ezberdinak batuz: antropologia kulturala, linguistikoa, arkeologia… Berarentzat, antropologia kulturen ikerketa zientifikoa zen eta ulerkera horri jaraituz eraman zuen praktikara. Era horretan, metodo antropologikoa modu sistematikoan definitu zuen, landa lan enpirikoaren bidez eta behaketa parte-hartzailearen bidez. Bidai ugari egin zuen Malinoswkik, Trobiand irletara eta Polinesiara oro har. Horren adibide da iruzkintzen dugun lana, baina beste lan batzuk ere baditu, </w:t>
      </w:r>
      <w:r>
        <w:rPr>
          <w:i/>
          <w:sz w:val="26"/>
          <w:szCs w:val="26"/>
        </w:rPr>
        <w:t xml:space="preserve">Sex and Repression in Savage Society </w:t>
      </w:r>
      <w:r>
        <w:rPr>
          <w:b w:val="false"/>
          <w:bCs w:val="false"/>
          <w:i w:val="false"/>
          <w:iCs w:val="false"/>
          <w:sz w:val="26"/>
          <w:szCs w:val="26"/>
        </w:rPr>
        <w:t>eta</w:t>
      </w:r>
      <w:r>
        <w:rPr>
          <w:i/>
          <w:sz w:val="26"/>
          <w:szCs w:val="26"/>
        </w:rPr>
        <w:t xml:space="preserve"> The Sexual Life of Savages in North-Western Melanesia, </w:t>
      </w:r>
      <w:r>
        <w:rPr>
          <w:i w:val="false"/>
          <w:iCs w:val="false"/>
          <w:sz w:val="26"/>
          <w:szCs w:val="26"/>
        </w:rPr>
        <w:t>besteak beste.</w:t>
      </w:r>
    </w:p>
    <w:p>
      <w:pPr>
        <w:pStyle w:val="Testugorputza"/>
        <w:spacing w:lineRule="auto" w:line="288"/>
        <w:jc w:val="both"/>
        <w:rPr/>
      </w:pPr>
      <w:r>
        <w:rPr>
          <w:i w:val="false"/>
          <w:iCs w:val="false"/>
          <w:sz w:val="26"/>
          <w:szCs w:val="26"/>
        </w:rPr>
        <w:tab/>
        <w:t xml:space="preserve">Behin Malinowskiren testuingurua eta funtzionalismoaren nondik norakoak aipatuta, murgil gaitezen antropologo poloniarraren testuaren sakontasunean. Lehen esan bezala, sarrera honetan, aurrerago aurkeztuko diren landa-lanaren emaitzetara nola iritsi den zehazten da, izenburuak ageria uzten duenez: </w:t>
      </w:r>
      <w:r>
        <w:rPr>
          <w:i/>
          <w:iCs/>
          <w:sz w:val="26"/>
          <w:szCs w:val="26"/>
        </w:rPr>
        <w:t xml:space="preserve">''Introducción: objeto, método y finalidad de esta investigación''. </w:t>
      </w:r>
      <w:r>
        <w:rPr>
          <w:i w:val="false"/>
          <w:iCs w:val="false"/>
          <w:sz w:val="26"/>
          <w:szCs w:val="26"/>
        </w:rPr>
        <w:t xml:space="preserve">Halaber, azpimarrtu beharrekoa da Polinesiako gizartea elementu baten nagusitasunetik aztertzen duela, hau da, </w:t>
      </w:r>
      <w:r>
        <w:rPr>
          <w:i/>
          <w:iCs/>
          <w:sz w:val="26"/>
          <w:szCs w:val="26"/>
        </w:rPr>
        <w:t>kula</w:t>
      </w:r>
      <w:r>
        <w:rPr>
          <w:i w:val="false"/>
          <w:iCs w:val="false"/>
          <w:sz w:val="26"/>
          <w:szCs w:val="26"/>
        </w:rPr>
        <w:t>ren edo bertako merkataritza eta truke sistemaren nagusitasunetik. Izan ere, hori da ikerketa honen objektu nagusia sarreraren lehen zatian ikusten den bezala.</w:t>
      </w:r>
    </w:p>
    <w:p>
      <w:pPr>
        <w:pStyle w:val="Testugorputza"/>
        <w:spacing w:lineRule="auto" w:line="288"/>
        <w:jc w:val="both"/>
        <w:rPr/>
      </w:pPr>
      <w:r>
        <w:rPr>
          <w:i w:val="false"/>
          <w:iCs w:val="false"/>
          <w:sz w:val="26"/>
          <w:szCs w:val="26"/>
        </w:rPr>
        <w:tab/>
        <w:t>Objektua argi utzi bezain laster, metodoen deskripzioari ekiten dio (</w:t>
      </w:r>
      <w:r>
        <w:rPr>
          <w:i/>
          <w:iCs/>
          <w:sz w:val="26"/>
          <w:szCs w:val="26"/>
        </w:rPr>
        <w:t>antes de proceder a la descripción del Kula, no estará de más una descripción de los metodos seguidos para recoger el material etnográfico</w:t>
      </w:r>
      <w:r>
        <w:rPr>
          <w:i w:val="false"/>
          <w:iCs w:val="false"/>
          <w:sz w:val="26"/>
          <w:szCs w:val="26"/>
        </w:rPr>
        <w:t>). Etnografia baldintza egokietan egiteko zenbait gomendio, metodo eta enfoke azaltzen ditu, zeinak berak jarraitu dituen; etnografia bezalako diziplina batean beharrezkoa baita bere iritziz azalpen hori egitea, bere aurretik autore bakar batek egin ez bazuen ere. Malinoswkiren esanetan, etnografian landa-lanaren materialaren eta amaierako aurkezpenaren artean alde handia dago eta etnografoaren ardura da prozesuaren hasieratik bukaeraraino pasatzen diren urteen eragina gainditzea.</w:t>
      </w:r>
    </w:p>
    <w:p>
      <w:pPr>
        <w:pStyle w:val="Testugorputza"/>
        <w:spacing w:lineRule="auto" w:line="288"/>
        <w:jc w:val="both"/>
        <w:rPr/>
      </w:pPr>
      <w:r>
        <w:rPr>
          <w:i w:val="false"/>
          <w:iCs w:val="false"/>
          <w:sz w:val="26"/>
          <w:szCs w:val="26"/>
        </w:rPr>
        <w:tab/>
        <w:t xml:space="preserve">Iruzkin honetan, zehazki antropologo funtzionalistak ematen dituen gomendioak eta erabilitako teknikak aipatuko ditugu. Hasteko, azpimarratzen da ikertuko den lurraldean bizilekua jartzen den lehen momentutik egin behar dela behaketa eta landa lana, eta posible bada, kide txuririk </w:t>
      </w:r>
      <w:r>
        <w:rPr>
          <w:i w:val="false"/>
          <w:iCs w:val="false"/>
          <w:sz w:val="26"/>
          <w:szCs w:val="26"/>
        </w:rPr>
        <w:t>edo laguntzailerik (acompañante)</w:t>
      </w:r>
      <w:r>
        <w:rPr>
          <w:i w:val="false"/>
          <w:iCs w:val="false"/>
          <w:sz w:val="26"/>
          <w:szCs w:val="26"/>
        </w:rPr>
        <w:t xml:space="preserve"> gabe. Erabili</w:t>
      </w:r>
      <w:r>
        <w:rPr>
          <w:i w:val="false"/>
          <w:iCs w:val="false"/>
          <w:sz w:val="26"/>
          <w:szCs w:val="26"/>
        </w:rPr>
        <w:t xml:space="preserve"> zuen</w:t>
      </w:r>
      <w:r>
        <w:rPr>
          <w:i w:val="false"/>
          <w:iCs w:val="false"/>
          <w:sz w:val="26"/>
          <w:szCs w:val="26"/>
        </w:rPr>
        <w:t xml:space="preserve"> hizkuntza </w:t>
      </w:r>
      <w:r>
        <w:rPr>
          <w:i/>
          <w:iCs/>
          <w:sz w:val="26"/>
          <w:szCs w:val="26"/>
        </w:rPr>
        <w:t xml:space="preserve">pidgin-English </w:t>
      </w:r>
      <w:r>
        <w:rPr>
          <w:i w:val="false"/>
          <w:iCs w:val="false"/>
          <w:sz w:val="26"/>
          <w:szCs w:val="26"/>
        </w:rPr>
        <w:t xml:space="preserve">da, </w:t>
      </w:r>
      <w:r>
        <w:rPr>
          <w:i w:val="false"/>
          <w:iCs w:val="false"/>
          <w:sz w:val="26"/>
          <w:szCs w:val="26"/>
        </w:rPr>
        <w:t xml:space="preserve">bertako hizkuntzarekin nahasitako ingelera, hizkuntza indigena guztiz barneratzen den arte; </w:t>
      </w:r>
      <w:r>
        <w:rPr>
          <w:i w:val="false"/>
          <w:iCs w:val="false"/>
          <w:sz w:val="26"/>
          <w:szCs w:val="26"/>
        </w:rPr>
        <w:t xml:space="preserve">hark zituen muga guztiak kontuan hartuta. Hala ere, </w:t>
      </w:r>
      <w:r>
        <w:rPr>
          <w:i w:val="false"/>
          <w:iCs w:val="false"/>
          <w:sz w:val="26"/>
          <w:szCs w:val="26"/>
        </w:rPr>
        <w:t>han bizi diren txuriengandik jasotako informazioa ez zitzaion baliagarriagoa suertatu, aurreiritziz josia zegoelako eta ikuskera ez zelako batere zientifikoa. Hortaz, bakarrik lan egitea zen egokiena.</w:t>
      </w:r>
    </w:p>
    <w:p>
      <w:pPr>
        <w:pStyle w:val="Testugorputza"/>
        <w:spacing w:lineRule="auto" w:line="288"/>
        <w:jc w:val="both"/>
        <w:rPr/>
      </w:pPr>
      <w:r>
        <w:rPr>
          <w:i w:val="false"/>
          <w:iCs w:val="false"/>
          <w:sz w:val="26"/>
          <w:szCs w:val="26"/>
        </w:rPr>
        <w:tab/>
        <w:t>Malinoswkik argi zuen emaitza onargarriak lortzekotan, printzipio metodologiko batzuk jarraituz izango zela eta bere ustez, hauek ziren printzipio horiek: helburu zientifikoak izatea eta etnografia modernoaren irizpideak ezagutzea; lana aurrera eramateko inguru egokian bizitzea, hau da, indigenen artean eta ez bertako txuriekin; informazioa bildu eta kudeatzeko metodo zehatz erabiltzea. Horren inguruan arituko da sarrera osoan zehar.</w:t>
      </w:r>
    </w:p>
    <w:p>
      <w:pPr>
        <w:pStyle w:val="Testugorputza"/>
        <w:spacing w:lineRule="auto" w:line="288"/>
        <w:jc w:val="both"/>
        <w:rPr/>
      </w:pPr>
      <w:r>
        <w:rPr>
          <w:i w:val="false"/>
          <w:iCs w:val="false"/>
          <w:sz w:val="26"/>
          <w:szCs w:val="26"/>
        </w:rPr>
        <w:tab/>
        <w:t xml:space="preserve">Lehenik eta behin, bigarren printzipioari dagokionez, indigenekin bizi beharra dago, txurien esku hartzerik gabe. Horretarako, bere inguruan jarri behar da kanpalekua. </w:t>
      </w:r>
      <w:r>
        <w:rPr>
          <w:i w:val="false"/>
          <w:iCs w:val="false"/>
          <w:sz w:val="26"/>
          <w:szCs w:val="26"/>
        </w:rPr>
        <w:t>Ondorioz, euren ohitura eta sinesmenekin harreman estuagoan egonen da etnografoa eta gainera, indigenek ez dute jarrera berezirik izango, bere presentzia normaltzat hartuko baitute. Azkenik, jokamolde indigena ikasi zuela esaten du, zer dagoen gaizki eta zer ongi, eta horrek jarri zuela landa lana egiteko baldintza onenetan.</w:t>
      </w:r>
    </w:p>
    <w:p>
      <w:pPr>
        <w:pStyle w:val="Testugorputza"/>
        <w:spacing w:lineRule="auto" w:line="288"/>
        <w:jc w:val="both"/>
        <w:rPr/>
      </w:pPr>
      <w:r>
        <w:rPr>
          <w:i w:val="false"/>
          <w:iCs w:val="false"/>
          <w:sz w:val="26"/>
          <w:szCs w:val="26"/>
        </w:rPr>
        <w:tab/>
        <w:t>Bestetik, ikerketa metodo aktiboen alde egiten du, hau da, defendatzen du etnografoak ez dituela soilik gertaerak itxoin eta ikertu behar, baizik eta eragin ere egin behar dituela, ahal duen moduan. Horretarako, ezinbestekoa da prestakuntza teorikoa, hura baita ikertzailea gidatzen duena. Indigenen gizartea ez da ulertu behar ''mundu basati'' moduan, haien antolaketak ere lege eta printzipio batzuei jarraitzen baitie eta horiek ulertu beharra dago.</w:t>
      </w:r>
    </w:p>
    <w:p>
      <w:pPr>
        <w:pStyle w:val="Testugorputza"/>
        <w:spacing w:lineRule="auto" w:line="288"/>
        <w:jc w:val="both"/>
        <w:rPr/>
      </w:pPr>
      <w:r>
        <w:rPr>
          <w:i w:val="false"/>
          <w:iCs w:val="false"/>
          <w:sz w:val="26"/>
          <w:szCs w:val="26"/>
        </w:rPr>
        <w:tab/>
        <w:t xml:space="preserve">Esandako orokorkerian sakontzeko, eta argiago uzteko, antropologo poloniarrak </w:t>
      </w:r>
      <w:r>
        <w:rPr>
          <w:i w:val="false"/>
          <w:iCs w:val="false"/>
          <w:sz w:val="26"/>
          <w:szCs w:val="26"/>
        </w:rPr>
        <w:t xml:space="preserve">metodoaren inguruko kontsiderazio batzuk egiten ditu. Etnografoak gizartearen egitura azaldu behar du, baina hori ez dago inon idatzia, baizik eta gizakiaren barnean, ezkutuan, tradizioaren indarraren eta ingurumenaren baldintza materialen arteko elkarreraginean. Guzti hori azaldu ahal izateko, datuak jaso eta dedukzio eta orokortzeak egin behar dira era zientifikoan. Zientifikotasun horrek bi gauza dakartza. Lehena, lana ahal bezain beste osatzea eta prozedura sistematiko eta metodikoen bidez zehaztasuna bilatzea eta bigarrena, </w:t>
      </w:r>
      <w:r>
        <w:rPr>
          <w:i w:val="false"/>
          <w:iCs w:val="false"/>
          <w:sz w:val="26"/>
          <w:szCs w:val="26"/>
        </w:rPr>
        <w:t xml:space="preserve">ikerketa ildo nabarmenetan zehar eta helburu garrantzitsuetarantz bideratzea. Metodo enpirikoak, halaber, jasotako materiala nolabait materializatzea eskatzen du: diagrama baten, mapa baten edo beste euskarri baten bidez. Era horretan, konfidantza helaraziko du etnografoak eta erakutsiko du zertan dautza bere obersazioak. </w:t>
      </w:r>
    </w:p>
    <w:p>
      <w:pPr>
        <w:pStyle w:val="Testugorputza"/>
        <w:spacing w:lineRule="auto" w:line="288"/>
        <w:jc w:val="both"/>
        <w:rPr/>
      </w:pPr>
      <w:r>
        <w:rPr>
          <w:i w:val="false"/>
          <w:iCs w:val="false"/>
          <w:sz w:val="26"/>
          <w:szCs w:val="26"/>
        </w:rPr>
        <w:tab/>
        <w:t xml:space="preserve">Metodoarekin jarraituz, ikerketa hankamotz ez geratzeko modua erakusten digu Malinoswkik. </w:t>
      </w:r>
      <w:r>
        <w:rPr>
          <w:i w:val="false"/>
          <w:iCs w:val="false"/>
          <w:sz w:val="26"/>
          <w:szCs w:val="26"/>
        </w:rPr>
        <w:t xml:space="preserve">Ohiturak ikertzen ditugunean, beharrezkoa da bere ustez, jarrera edo jokamoldea ikertzea, ohitura horiek nola eramaten diren aurrera. Horretarako, eguneroko bizitzari erreparatu behar zaio, edo berak zioen bezala </w:t>
      </w:r>
      <w:r>
        <w:rPr>
          <w:i/>
          <w:iCs/>
          <w:sz w:val="26"/>
          <w:szCs w:val="26"/>
        </w:rPr>
        <w:t>los imponderables de la vida real.</w:t>
      </w:r>
      <w:r>
        <w:rPr>
          <w:i w:val="false"/>
          <w:iCs w:val="false"/>
          <w:sz w:val="26"/>
          <w:szCs w:val="26"/>
        </w:rPr>
        <w:t xml:space="preserve"> Etnografo batek ezin ditu eguneroko jarrera eta ohiturak alde batera utzi, horien atzean baitago bizitzaren eta munduaren inguruko ikuskera. Malinoswkik esaten du normalean, ez direla eguneroko portaerak eta jokabiderik berezienak batera aztertzen, baizik eta bata edo bestea.</w:t>
      </w:r>
    </w:p>
    <w:p>
      <w:pPr>
        <w:pStyle w:val="Testugorputza"/>
        <w:spacing w:lineRule="auto" w:line="288"/>
        <w:jc w:val="both"/>
        <w:rPr/>
      </w:pPr>
      <w:r>
        <w:rPr>
          <w:i w:val="false"/>
          <w:iCs w:val="false"/>
          <w:sz w:val="26"/>
          <w:szCs w:val="26"/>
        </w:rPr>
        <w:tab/>
        <w:t xml:space="preserve">Azkenik, azpimarratzen du ohiturak eta jarrera aztertzeaz gain, mentalitatea ere oso presente izan behar dela: iritziak, expresatzeko moduak… Izan ere, ez berdina tradizioak agindutako ohiturak izatea jarrera aktibo batean edo behartutako jarrera batean. </w:t>
      </w:r>
    </w:p>
    <w:p>
      <w:pPr>
        <w:pStyle w:val="Testugorputza"/>
        <w:spacing w:lineRule="auto" w:line="288"/>
        <w:jc w:val="both"/>
        <w:rPr/>
      </w:pPr>
      <w:r>
        <w:rPr>
          <w:i w:val="false"/>
          <w:iCs w:val="false"/>
          <w:sz w:val="26"/>
          <w:szCs w:val="26"/>
        </w:rPr>
        <w:tab/>
        <w:t xml:space="preserve">Hortaz, hiru dira lan etnografikoaren helmuga erdiesteko bideak: tribuaren antolaketa eta bere kulturaren antolaketa; aurrekoarenb barruko eguneroko jokamoldeak (los imponderables) eta corpus-a edo mentalitatea. </w:t>
      </w:r>
    </w:p>
    <w:p>
      <w:pPr>
        <w:pStyle w:val="Testugorputza"/>
        <w:spacing w:lineRule="auto" w:line="288"/>
        <w:jc w:val="both"/>
        <w:rPr/>
      </w:pPr>
      <w:r>
        <w:rPr>
          <w:i w:val="false"/>
          <w:iCs w:val="false"/>
          <w:sz w:val="26"/>
          <w:szCs w:val="26"/>
        </w:rPr>
        <w:tab/>
        <w:t xml:space="preserve">Iruzkinari amaiera emateko, Malinoswkiren ekarpenari balioa aitortuko diogu. </w:t>
      </w:r>
      <w:r>
        <w:rPr>
          <w:i w:val="false"/>
          <w:iCs w:val="false"/>
          <w:sz w:val="26"/>
          <w:szCs w:val="26"/>
        </w:rPr>
        <w:t>Izan ere, bera izan da diziplinari benetan izaera zientifikoa ematen asmatu zuena. Hasieran esaten du ezin dela ulertu biologiako aurkipen bat, nola egin den azaldu gabe eta berdin gertatzen dela antropologian. Ikerketa amateurrek ohitura batzuen berri ematen dute, baina azalean geratzen omen dira eta berak prozedura sistematikoen bidez, gizartearen eta pertsonen sakontasunean murgiltzea lortu zuen. Baina ez hori bakarrik; bere ondorengokoentzat hori nola egin daitekeen edo behintzat, berak nola egin zuen argitu zuen. Erakutsi zuen ez zela espekulazio hutsa baizik eta oinarri enpiriko sendoa duen zientzia dela.</w:t>
      </w:r>
    </w:p>
    <w:p>
      <w:pPr>
        <w:pStyle w:val="Testugorputza"/>
        <w:spacing w:lineRule="auto" w:line="288"/>
        <w:jc w:val="both"/>
        <w:rPr>
          <w:i w:val="false"/>
          <w:i w:val="false"/>
          <w:iCs w:val="false"/>
          <w:sz w:val="26"/>
          <w:szCs w:val="26"/>
        </w:rPr>
      </w:pPr>
      <w:r>
        <w:rPr/>
      </w:r>
    </w:p>
    <w:p>
      <w:pPr>
        <w:pStyle w:val="Normal"/>
        <w:jc w:val="right"/>
        <w:rPr>
          <w:rFonts w:ascii="Liberation Serif" w:hAnsi="Liberation Serif"/>
          <w:b w:val="false"/>
          <w:b w:val="false"/>
          <w:bCs w:val="false"/>
          <w:i/>
          <w:i/>
          <w:iCs/>
          <w:color w:val="000000"/>
          <w:sz w:val="40"/>
          <w:szCs w:val="40"/>
          <w:u w:val="none"/>
        </w:rPr>
      </w:pPr>
      <w:r>
        <w:rPr>
          <w:rFonts w:ascii="Liberation Serif" w:hAnsi="Liberation Serif"/>
          <w:b/>
          <w:bCs/>
          <w:i w:val="false"/>
          <w:iCs w:val="false"/>
          <w:color w:val="000000"/>
          <w:sz w:val="40"/>
          <w:szCs w:val="40"/>
          <w:u w:val="none"/>
          <w:lang w:val="eu-ES"/>
        </w:rPr>
        <w:t xml:space="preserve">   </w:t>
      </w:r>
    </w:p>
    <w:p>
      <w:pPr>
        <w:pStyle w:val="Normal"/>
        <w:jc w:val="right"/>
        <w:rPr>
          <w:rFonts w:ascii="Liberation Serif" w:hAnsi="Liberation Serif"/>
          <w:b w:val="false"/>
          <w:b w:val="false"/>
          <w:bCs w:val="false"/>
          <w:i/>
          <w:i/>
          <w:iCs/>
          <w:color w:val="000000"/>
          <w:sz w:val="40"/>
          <w:szCs w:val="40"/>
          <w:u w:val="none"/>
        </w:rPr>
      </w:pPr>
      <w:r>
        <w:rPr>
          <w:rFonts w:ascii="Liberation Serif" w:hAnsi="Liberation Serif"/>
          <w:b/>
          <w:bCs/>
          <w:i w:val="false"/>
          <w:iCs w:val="false"/>
          <w:color w:val="000000"/>
          <w:sz w:val="40"/>
          <w:szCs w:val="40"/>
          <w:u w:val="none"/>
          <w:lang w:val="eu-ES"/>
        </w:rPr>
        <w:t xml:space="preserve">Ikaslea:                   </w:t>
      </w:r>
      <w:r>
        <w:rPr>
          <w:rFonts w:ascii="Liberation Serif" w:hAnsi="Liberation Serif"/>
          <w:b w:val="false"/>
          <w:bCs w:val="false"/>
          <w:i w:val="false"/>
          <w:iCs w:val="false"/>
          <w:color w:val="000000"/>
          <w:sz w:val="40"/>
          <w:szCs w:val="40"/>
          <w:u w:val="none"/>
          <w:lang w:val="eu-ES"/>
        </w:rPr>
        <w:t xml:space="preserve"> Manex Mailharin Ortigosa</w:t>
      </w:r>
    </w:p>
    <w:p>
      <w:pPr>
        <w:pStyle w:val="Normal"/>
        <w:jc w:val="right"/>
        <w:rPr>
          <w:rFonts w:ascii="Liberation Serif" w:hAnsi="Liberation Serif"/>
          <w:b w:val="false"/>
          <w:b w:val="false"/>
          <w:bCs w:val="false"/>
          <w:i/>
          <w:i/>
          <w:iCs/>
          <w:color w:val="000000"/>
          <w:sz w:val="40"/>
          <w:szCs w:val="40"/>
          <w:u w:val="none"/>
        </w:rPr>
      </w:pPr>
      <w:r>
        <w:rPr>
          <w:rFonts w:ascii="Liberation Serif" w:hAnsi="Liberation Serif"/>
          <w:b/>
          <w:bCs/>
          <w:i w:val="false"/>
          <w:iCs w:val="false"/>
          <w:color w:val="000000"/>
          <w:sz w:val="40"/>
          <w:szCs w:val="40"/>
          <w:u w:val="none"/>
          <w:lang w:val="eu-ES"/>
        </w:rPr>
        <w:t>Lana:</w:t>
      </w:r>
      <w:r>
        <w:rPr>
          <w:rFonts w:ascii="Liberation Serif" w:hAnsi="Liberation Serif"/>
          <w:b w:val="false"/>
          <w:bCs w:val="false"/>
          <w:i w:val="false"/>
          <w:iCs w:val="false"/>
          <w:color w:val="000000"/>
          <w:sz w:val="40"/>
          <w:szCs w:val="40"/>
          <w:u w:val="none"/>
          <w:lang w:val="eu-ES"/>
        </w:rPr>
        <w:t xml:space="preserve">                          </w:t>
      </w:r>
      <w:r>
        <w:rPr>
          <w:rFonts w:ascii="Liberation Serif" w:hAnsi="Liberation Serif"/>
          <w:b w:val="false"/>
          <w:bCs w:val="false"/>
          <w:i w:val="false"/>
          <w:iCs w:val="false"/>
          <w:color w:val="000000"/>
          <w:sz w:val="40"/>
          <w:szCs w:val="40"/>
          <w:u w:val="none"/>
          <w:lang w:val="eu-ES"/>
        </w:rPr>
        <w:t>Malinoswki - Argonautas</w:t>
      </w:r>
    </w:p>
    <w:p>
      <w:pPr>
        <w:pStyle w:val="Normal"/>
        <w:jc w:val="right"/>
        <w:rPr>
          <w:rFonts w:ascii="Liberation Serif" w:hAnsi="Liberation Serif"/>
          <w:b w:val="false"/>
          <w:b w:val="false"/>
          <w:bCs w:val="false"/>
          <w:i/>
          <w:i/>
          <w:iCs/>
          <w:color w:val="000000"/>
          <w:sz w:val="40"/>
          <w:szCs w:val="40"/>
          <w:u w:val="none"/>
        </w:rPr>
      </w:pPr>
      <w:r>
        <w:rPr>
          <w:rFonts w:ascii="Liberation Serif" w:hAnsi="Liberation Serif"/>
          <w:b/>
          <w:bCs/>
          <w:i w:val="false"/>
          <w:iCs w:val="false"/>
          <w:color w:val="000000"/>
          <w:sz w:val="40"/>
          <w:szCs w:val="40"/>
          <w:u w:val="none"/>
          <w:lang w:val="eu-ES"/>
        </w:rPr>
        <w:t xml:space="preserve">   </w:t>
      </w:r>
      <w:r>
        <w:rPr>
          <w:rFonts w:ascii="Liberation Serif" w:hAnsi="Liberation Serif"/>
          <w:b/>
          <w:bCs/>
          <w:i w:val="false"/>
          <w:iCs w:val="false"/>
          <w:color w:val="000000"/>
          <w:sz w:val="40"/>
          <w:szCs w:val="40"/>
          <w:u w:val="none"/>
          <w:lang w:val="eu-ES"/>
        </w:rPr>
        <w:tab/>
        <w:t>I</w:t>
      </w:r>
      <w:r>
        <w:rPr>
          <w:rFonts w:ascii="Liberation Serif" w:hAnsi="Liberation Serif"/>
          <w:b/>
          <w:bCs/>
          <w:i w:val="false"/>
          <w:iCs w:val="false"/>
          <w:color w:val="000000"/>
          <w:sz w:val="40"/>
          <w:szCs w:val="40"/>
          <w:u w:val="none"/>
          <w:lang w:val="eu-ES"/>
        </w:rPr>
        <w:t xml:space="preserve">kasgaia:    </w:t>
      </w:r>
      <w:r>
        <w:rPr>
          <w:rFonts w:ascii="Liberation Serif" w:hAnsi="Liberation Serif"/>
          <w:b w:val="false"/>
          <w:bCs w:val="false"/>
          <w:i w:val="false"/>
          <w:iCs w:val="false"/>
          <w:color w:val="000000"/>
          <w:sz w:val="40"/>
          <w:szCs w:val="40"/>
          <w:u w:val="none"/>
          <w:lang w:val="eu-ES"/>
        </w:rPr>
        <w:t>Antropologiako Oinarrizko Testuak</w:t>
      </w:r>
    </w:p>
    <w:p>
      <w:pPr>
        <w:pStyle w:val="Normal"/>
        <w:spacing w:lineRule="auto" w:line="288"/>
        <w:jc w:val="right"/>
        <w:rPr>
          <w:rFonts w:ascii="Liberation Serif" w:hAnsi="Liberation Serif"/>
          <w:b w:val="false"/>
          <w:b w:val="false"/>
          <w:bCs w:val="false"/>
          <w:i/>
          <w:i/>
          <w:iCs/>
          <w:color w:val="000000"/>
          <w:sz w:val="40"/>
          <w:szCs w:val="40"/>
          <w:u w:val="none"/>
        </w:rPr>
      </w:pPr>
      <w:r>
        <w:rPr>
          <w:rFonts w:ascii="Liberation Serif" w:hAnsi="Liberation Serif"/>
          <w:b/>
          <w:bCs/>
          <w:i w:val="false"/>
          <w:iCs w:val="false"/>
          <w:color w:val="000000"/>
          <w:sz w:val="40"/>
          <w:szCs w:val="40"/>
          <w:u w:val="none"/>
          <w:lang w:val="eu-ES"/>
        </w:rPr>
        <w:t xml:space="preserve">Irakasleak:  </w:t>
      </w:r>
      <w:r>
        <w:rPr>
          <w:rFonts w:ascii="Liberation Serif" w:hAnsi="Liberation Serif"/>
          <w:b w:val="false"/>
          <w:bCs w:val="false"/>
          <w:i w:val="false"/>
          <w:iCs w:val="false"/>
          <w:color w:val="000000"/>
          <w:sz w:val="40"/>
          <w:szCs w:val="40"/>
          <w:u w:val="none"/>
          <w:lang w:val="eu-ES"/>
        </w:rPr>
        <w:t xml:space="preserve"> Melania Moscoso eta Ivan Ayesta</w:t>
      </w:r>
    </w:p>
    <w:p>
      <w:pPr>
        <w:pStyle w:val="Testugorputza"/>
        <w:spacing w:lineRule="auto" w:line="288"/>
        <w:jc w:val="both"/>
        <w:rPr/>
      </w:pPr>
      <w:r>
        <w:rPr>
          <w:i w:val="false"/>
          <w:iCs w:val="false"/>
          <w:sz w:val="26"/>
          <w:szCs w:val="26"/>
        </w:rPr>
        <w:tab/>
      </w:r>
    </w:p>
    <w:p>
      <w:pPr>
        <w:pStyle w:val="Normal"/>
        <w:jc w:val="both"/>
        <w:rPr>
          <w:b w:val="false"/>
          <w:b w:val="false"/>
          <w:bCs w:val="false"/>
          <w:i w:val="false"/>
          <w:i w:val="false"/>
          <w:iCs w:val="false"/>
          <w:sz w:val="22"/>
          <w:szCs w:val="22"/>
          <w:u w:val="none"/>
          <w:shd w:fill="FFFFFF" w:val="clear"/>
          <w:lang w:val="eu-ES"/>
        </w:rPr>
      </w:pPr>
      <w:r>
        <w:rPr/>
      </w:r>
    </w:p>
    <w:p>
      <w:pPr>
        <w:pStyle w:val="Normal"/>
        <w:spacing w:before="0" w:after="160"/>
        <w:jc w:val="both"/>
        <w:rPr>
          <w:b/>
          <w:b/>
          <w:u w:val="single"/>
          <w:lang w:val="eu-ES"/>
        </w:rPr>
      </w:pPr>
      <w:r>
        <w:rPr/>
      </w:r>
    </w:p>
    <w:sectPr>
      <w:type w:val="nextPage"/>
      <w:pgSz w:w="11906" w:h="16838"/>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9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spacing w:lineRule="auto" w:line="259"/>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es-ES" w:eastAsia="en-US" w:bidi="ar-SA"/>
    </w:rPr>
  </w:style>
  <w:style w:type="paragraph" w:styleId="1izenburua">
    <w:name w:val="1. izenburua"/>
    <w:basedOn w:val="Izenburua"/>
    <w:pPr/>
    <w:rPr/>
  </w:style>
  <w:style w:type="paragraph" w:styleId="2izenburua">
    <w:name w:val="2. izenburua"/>
    <w:basedOn w:val="Izenburua"/>
    <w:pPr/>
    <w:rPr/>
  </w:style>
  <w:style w:type="paragraph" w:styleId="3izenburua">
    <w:name w:val="3. izenburua"/>
    <w:basedOn w:val="Izenburua"/>
    <w:pPr/>
    <w:rPr/>
  </w:style>
  <w:style w:type="character" w:styleId="DefaultParagraphFont" w:default="1">
    <w:name w:val="Default Paragraph Font"/>
    <w:uiPriority w:val="1"/>
    <w:semiHidden/>
    <w:unhideWhenUsed/>
    <w:qFormat/>
    <w:rPr/>
  </w:style>
  <w:style w:type="character" w:styleId="ListLabel1">
    <w:name w:val="ListLabel 1"/>
    <w:qFormat/>
    <w:rPr>
      <w:rFonts w:eastAsia="Calibri" w:cs=""/>
      <w:b/>
    </w:rPr>
  </w:style>
  <w:style w:type="character" w:styleId="ListLabel2">
    <w:name w:val="ListLabel 2"/>
    <w:qFormat/>
    <w:rPr>
      <w:rFonts w:cs="Courier New"/>
    </w:rPr>
  </w:style>
  <w:style w:type="character" w:styleId="ListLabel3">
    <w:name w:val="ListLabel 3"/>
    <w:qFormat/>
    <w:rPr>
      <w:rFonts w:cs=""/>
      <w:b/>
    </w:rPr>
  </w:style>
  <w:style w:type="character" w:styleId="ListLabel4">
    <w:name w:val="ListLabel 4"/>
    <w:qFormat/>
    <w:rPr>
      <w:rFonts w:cs="Courier New"/>
    </w:rPr>
  </w:style>
  <w:style w:type="character" w:styleId="ListLabel5">
    <w:name w:val="ListLabel 5"/>
    <w:qFormat/>
    <w:rPr>
      <w:rFonts w:cs="Wingdings"/>
    </w:rPr>
  </w:style>
  <w:style w:type="character" w:styleId="ListLabel6">
    <w:name w:val="ListLabel 6"/>
    <w:qFormat/>
    <w:rPr>
      <w:rFonts w:cs="Symbol"/>
    </w:rPr>
  </w:style>
  <w:style w:type="character" w:styleId="Internetesteka">
    <w:name w:val="Internet esteka"/>
    <w:rPr>
      <w:color w:val="000080"/>
      <w:u w:val="single"/>
      <w:lang w:val="zxx" w:eastAsia="zxx" w:bidi="zxx"/>
    </w:rPr>
  </w:style>
  <w:style w:type="character" w:styleId="Buletak">
    <w:name w:val="Buletak"/>
    <w:qFormat/>
    <w:rPr>
      <w:rFonts w:ascii="OpenSymbol" w:hAnsi="OpenSymbol" w:eastAsia="OpenSymbol" w:cs="OpenSymbol"/>
    </w:rPr>
  </w:style>
  <w:style w:type="character" w:styleId="ListLabel7">
    <w:name w:val="ListLabel 7"/>
    <w:qFormat/>
    <w:rPr>
      <w:rFonts w:cs=""/>
      <w:b/>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
      <w:b/>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Symbol"/>
    </w:rPr>
  </w:style>
  <w:style w:type="paragraph" w:styleId="Izenburua">
    <w:name w:val="Izenburua"/>
    <w:basedOn w:val="Normal"/>
    <w:next w:val="Testugorputza"/>
    <w:qFormat/>
    <w:pPr>
      <w:keepNext/>
      <w:spacing w:before="240" w:after="120"/>
    </w:pPr>
    <w:rPr>
      <w:rFonts w:ascii="Liberation Sans" w:hAnsi="Liberation Sans" w:eastAsia="Microsoft YaHei" w:cs="Mangal"/>
      <w:sz w:val="28"/>
      <w:szCs w:val="28"/>
    </w:rPr>
  </w:style>
  <w:style w:type="paragraph" w:styleId="Testugorputza">
    <w:name w:val="Testu-gorputza"/>
    <w:basedOn w:val="Normal"/>
    <w:pPr>
      <w:spacing w:lineRule="auto" w:line="288" w:before="0" w:after="140"/>
    </w:pPr>
    <w:rPr/>
  </w:style>
  <w:style w:type="paragraph" w:styleId="Zerrenda">
    <w:name w:val="Zerrenda"/>
    <w:basedOn w:val="Testugorputza"/>
    <w:pPr/>
    <w:rPr>
      <w:rFonts w:cs="Mangal"/>
    </w:rPr>
  </w:style>
  <w:style w:type="paragraph" w:styleId="Epigrafea">
    <w:name w:val="Epigrafea"/>
    <w:basedOn w:val="Normal"/>
    <w:pPr>
      <w:suppressLineNumbers/>
      <w:spacing w:before="120" w:after="120"/>
    </w:pPr>
    <w:rPr>
      <w:rFonts w:cs="Mangal"/>
      <w:i/>
      <w:iCs/>
      <w:sz w:val="24"/>
      <w:szCs w:val="24"/>
    </w:rPr>
  </w:style>
  <w:style w:type="paragraph" w:styleId="Indizea">
    <w:name w:val="Indizea"/>
    <w:basedOn w:val="Normal"/>
    <w:qFormat/>
    <w:pPr>
      <w:suppressLineNumbers/>
    </w:pPr>
    <w:rPr>
      <w:rFonts w:cs="Mangal"/>
    </w:rPr>
  </w:style>
  <w:style w:type="paragraph" w:styleId="ListParagraph">
    <w:name w:val="List Paragraph"/>
    <w:basedOn w:val="Normal"/>
    <w:uiPriority w:val="34"/>
    <w:qFormat/>
    <w:rsid w:val="00ac24e2"/>
    <w:pPr>
      <w:spacing w:before="0" w:after="160"/>
      <w:ind w:left="720" w:hanging="0"/>
      <w:contextualSpacing/>
    </w:pPr>
    <w:rPr/>
  </w:style>
  <w:style w:type="paragraph" w:styleId="Aipamenak">
    <w:name w:val="Aipamenak"/>
    <w:basedOn w:val="Normal"/>
    <w:qFormat/>
    <w:pPr/>
    <w:rPr/>
  </w:style>
  <w:style w:type="paragraph" w:styleId="Titulua">
    <w:name w:val="Titulua"/>
    <w:basedOn w:val="Izenburua"/>
    <w:pPr/>
    <w:rPr/>
  </w:style>
  <w:style w:type="paragraph" w:styleId="Azpititulua">
    <w:name w:val="Azpititulua"/>
    <w:basedOn w:val="Izenburua"/>
    <w:pPr/>
    <w:rPr/>
  </w:style>
  <w:style w:type="numbering" w:styleId="NoList" w:default="1">
    <w:name w:val="No List"/>
    <w:uiPriority w:val="99"/>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Application>LibreOffice/4.4.5.2$Windows_x86 LibreOffice_project/a22f674fd25a3b6f45bdebf25400ed2adff0ff99</Application>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2016-02-01T17:12:00Z</dcterms:created>
  <dc:creator>nahia santander altamira</dc:creator>
  <dc:language>eu</dc:language>
  <dcterms:modified xsi:type="dcterms:W3CDTF">2016-03-15T19:28:30Z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