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0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950"/>
        <w:gridCol w:w="2746"/>
      </w:tblGrid>
      <w:tr w:rsidR="00546A1B" w:rsidRPr="000650F5" w14:paraId="2D2C825B" w14:textId="77777777">
        <w:trPr>
          <w:cantSplit/>
          <w:trHeight w:val="51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7E14A78" w14:textId="77777777" w:rsidR="00546A1B" w:rsidRDefault="00546A1B" w:rsidP="009427FC">
            <w:pPr>
              <w:pStyle w:val="Heading2"/>
            </w:pPr>
          </w:p>
          <w:p w14:paraId="58F2B509" w14:textId="77777777" w:rsidR="00546A1B" w:rsidRDefault="001907B4">
            <w:pPr>
              <w:pStyle w:val="Heading1"/>
            </w:pPr>
            <w:r>
              <w:t>PSIKOLOGIA JURIDIKOA.</w:t>
            </w:r>
          </w:p>
          <w:p w14:paraId="7217F322" w14:textId="77777777" w:rsidR="00546A1B" w:rsidRDefault="001907B4">
            <w:pPr>
              <w:pStyle w:val="Heading1"/>
            </w:pPr>
            <w:r>
              <w:t>GAIAK LANTZEKO INPRIMAKIA.</w:t>
            </w:r>
          </w:p>
          <w:p w14:paraId="1BD74987" w14:textId="77777777" w:rsidR="00546A1B" w:rsidRDefault="00546A1B">
            <w:pPr>
              <w:jc w:val="center"/>
              <w:rPr>
                <w:rFonts w:ascii="Arial" w:hAnsi="Arial" w:cs="Arial"/>
                <w:b/>
                <w:lang w:val="eu-ES"/>
              </w:rPr>
            </w:pPr>
          </w:p>
        </w:tc>
      </w:tr>
      <w:tr w:rsidR="00546A1B" w14:paraId="2F9FB458" w14:textId="77777777">
        <w:trPr>
          <w:cantSplit/>
          <w:trHeight w:val="5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FFFF"/>
          </w:tcPr>
          <w:p w14:paraId="1F91AD62" w14:textId="77777777" w:rsidR="00546A1B" w:rsidRDefault="001907B4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Ikaslea:</w:t>
            </w: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32B557A7" w14:textId="7B16098E" w:rsidR="00546A1B" w:rsidRDefault="009427FC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Saioa Echeguia Eizaguirre</w:t>
            </w:r>
          </w:p>
          <w:p w14:paraId="71F06D58" w14:textId="77777777" w:rsidR="00546A1B" w:rsidRDefault="00546A1B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546A1B" w14:paraId="77DAAF3D" w14:textId="77777777">
        <w:trPr>
          <w:cantSplit/>
          <w:trHeight w:val="51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00FFFF"/>
          </w:tcPr>
          <w:p w14:paraId="1CD652B0" w14:textId="77777777" w:rsidR="00546A1B" w:rsidRDefault="001907B4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Gaia:</w:t>
            </w:r>
          </w:p>
          <w:p w14:paraId="652EDEAF" w14:textId="77777777" w:rsidR="00546A1B" w:rsidRDefault="00546A1B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5221DAFB" w14:textId="3C93889E" w:rsidR="00546A1B" w:rsidRDefault="009427FC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7. GAIA</w:t>
            </w:r>
          </w:p>
        </w:tc>
      </w:tr>
      <w:tr w:rsidR="00546A1B" w14:paraId="2B32196B" w14:textId="77777777">
        <w:trPr>
          <w:cantSplit/>
          <w:trHeight w:val="51"/>
        </w:trPr>
        <w:tc>
          <w:tcPr>
            <w:tcW w:w="1844" w:type="dxa"/>
            <w:tcBorders>
              <w:bottom w:val="single" w:sz="4" w:space="0" w:color="auto"/>
            </w:tcBorders>
          </w:tcPr>
          <w:p w14:paraId="1B81B21F" w14:textId="77777777" w:rsidR="00546A1B" w:rsidRDefault="00546A1B">
            <w:pPr>
              <w:jc w:val="right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  <w:tc>
          <w:tcPr>
            <w:tcW w:w="7696" w:type="dxa"/>
            <w:gridSpan w:val="2"/>
            <w:tcBorders>
              <w:bottom w:val="single" w:sz="4" w:space="0" w:color="auto"/>
            </w:tcBorders>
          </w:tcPr>
          <w:p w14:paraId="599B0595" w14:textId="77777777" w:rsidR="00546A1B" w:rsidRDefault="00546A1B">
            <w:pPr>
              <w:jc w:val="center"/>
              <w:rPr>
                <w:rFonts w:ascii="Arial" w:hAnsi="Arial" w:cs="Arial"/>
                <w:b/>
                <w:sz w:val="20"/>
                <w:lang w:val="eu-ES"/>
              </w:rPr>
            </w:pPr>
          </w:p>
        </w:tc>
      </w:tr>
      <w:tr w:rsidR="003A131E" w14:paraId="0FFB8E06" w14:textId="77777777" w:rsidTr="003A131E">
        <w:trPr>
          <w:cantSplit/>
          <w:trHeight w:val="184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C05F41D" w14:textId="77777777" w:rsidR="003A131E" w:rsidRPr="003A131E" w:rsidRDefault="003A131E" w:rsidP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Gaiaren inguruko aurre iritziak: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4B72D8FF" w14:textId="77777777" w:rsidR="003A131E" w:rsidRDefault="003A131E" w:rsidP="00694665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Nondik etorritakoak:</w:t>
            </w:r>
          </w:p>
        </w:tc>
      </w:tr>
      <w:tr w:rsidR="003A131E" w14:paraId="4DA80797" w14:textId="77777777" w:rsidTr="003A131E">
        <w:trPr>
          <w:cantSplit/>
          <w:trHeight w:val="184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4084386C" w14:textId="4EF4F435" w:rsidR="003A131E" w:rsidRDefault="009427FC" w:rsidP="009427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Lekukotza derrigorrezkoa izango da eta ez du honen segurtasuna bermatuko (koakzioa, mehatxuak...).</w:t>
            </w:r>
          </w:p>
          <w:p w14:paraId="26498619" w14:textId="4C29527C" w:rsidR="009427FC" w:rsidRPr="009427FC" w:rsidRDefault="009427FC" w:rsidP="009427F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 xml:space="preserve">Oroimen galerak edota oroitzapen faltsuek epaiketa norabidetu dezakete modu okerrera. </w:t>
            </w:r>
          </w:p>
          <w:p w14:paraId="2B756293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  <w:p w14:paraId="515364FD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  <w:p w14:paraId="0756119C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0BEE3D08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</w:tc>
      </w:tr>
      <w:tr w:rsidR="003A131E" w14:paraId="153F836E" w14:textId="77777777" w:rsidTr="003A131E">
        <w:trPr>
          <w:cantSplit/>
          <w:trHeight w:val="132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23801B9" w14:textId="77777777" w:rsidR="003A131E" w:rsidRPr="003A131E" w:rsidRDefault="003A131E" w:rsidP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Alderdi garrantzitsuenak: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79A6F630" w14:textId="77777777" w:rsidR="003A131E" w:rsidRDefault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Zergatik:</w:t>
            </w:r>
          </w:p>
        </w:tc>
      </w:tr>
      <w:tr w:rsidR="003A131E" w:rsidRPr="000650F5" w14:paraId="55BAF629" w14:textId="77777777" w:rsidTr="003A131E">
        <w:trPr>
          <w:cantSplit/>
          <w:trHeight w:val="344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219C7A4D" w14:textId="3C8D18A5" w:rsidR="009427FC" w:rsidRDefault="009427FC" w:rsidP="00A94B8B">
            <w:pPr>
              <w:pStyle w:val="Heading2"/>
              <w:numPr>
                <w:ilvl w:val="0"/>
                <w:numId w:val="2"/>
              </w:numPr>
              <w:jc w:val="both"/>
            </w:pPr>
            <w:r>
              <w:t>Psikologoen marko juridikorako lehen gerturapena testiguen deklarazioetako zehazgabetasuna eta sugestioa izan ziren.</w:t>
            </w:r>
          </w:p>
          <w:p w14:paraId="633818C0" w14:textId="18872211" w:rsidR="003A131E" w:rsidRDefault="009427FC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 w:rsidRPr="009427FC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Zehaztasuna vs. Egiazkotasuna.</w:t>
            </w:r>
          </w:p>
          <w:p w14:paraId="13329B61" w14:textId="27CA18D9" w:rsidR="009427FC" w:rsidRDefault="00A511C3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Oroimenaren kasuan</w:t>
            </w:r>
            <w:r w:rsidR="00A94B8B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, testiguek, bi ohiko errore egiten dituzte: a) komisio erroreak, gertatu ez den zerbait gogoratzean, eta b) omisio erroreak, gertatutako zerbait orotzen ez denean. Akatsak eta lapsusak berriz, kodifikazio, mantentze eta berreskuratze prozesuko faktore ezberdinei dagokie.</w:t>
            </w:r>
          </w:p>
          <w:p w14:paraId="13FDC9FD" w14:textId="031B7B0D" w:rsidR="00A94B8B" w:rsidRDefault="00A94B8B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Kontuan hartzeko aldagaiak eta hautatutako sistemak propioki dituen aldagaiak. Hauen barruan, egoeraren faktoreak eta testiguaren faktoreak daude.</w:t>
            </w:r>
          </w:p>
          <w:p w14:paraId="504C4490" w14:textId="542D95CE" w:rsidR="00A94B8B" w:rsidRDefault="00BF138C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Trauma egoerak hobe gogoratzen dira.</w:t>
            </w:r>
          </w:p>
          <w:p w14:paraId="73D8D181" w14:textId="735270ED" w:rsidR="00BF138C" w:rsidRDefault="00BF138C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Estereotipoek eta aurreiritziek biktimaren memorian eragin dezakete erroreak sortuz </w:t>
            </w:r>
            <w:r w:rsidR="004252FA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bere testigantzarako.</w:t>
            </w:r>
          </w:p>
          <w:p w14:paraId="3CC32923" w14:textId="3C940856" w:rsidR="004252FA" w:rsidRDefault="004252FA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Deklaraziorako erabiliko den sistemak garrantzi handia izango du zehaztasun handiagoa izateko, bide beretik, gaizki egindako esku-hartze batek testigantzan modu atzeraezin batean eragin dezake. </w:t>
            </w:r>
          </w:p>
          <w:p w14:paraId="16109845" w14:textId="6A45A88D" w:rsidR="004252FA" w:rsidRDefault="00D3532F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Profesionalak galderak egiteko moduak haurraren testigantza alda dezake bere sugestionagarritasunagatik.</w:t>
            </w:r>
          </w:p>
          <w:p w14:paraId="0D6016FF" w14:textId="16C35311" w:rsidR="000650F5" w:rsidRDefault="000650F5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Elkarrizketatzaileak sesgo bat sor dakioke haurrari gertatu dena “badakielako”.</w:t>
            </w:r>
          </w:p>
          <w:p w14:paraId="5E5667A0" w14:textId="1AB13DC3" w:rsidR="000650F5" w:rsidRDefault="000650F5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Engainua </w:t>
            </w:r>
            <w:r w:rsidR="00E942BD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os umetatik hasten da baina hau maliziarik gabekoa da.</w:t>
            </w:r>
          </w:p>
          <w:p w14:paraId="0AE0CBD2" w14:textId="15D8106D" w:rsidR="00E942BD" w:rsidRPr="00A94B8B" w:rsidRDefault="00E942BD" w:rsidP="00A94B8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Haurraren testigantza lortzeko ez da narrazioa edo interrogatorioa bakarrik erabiltzen, beste teknika batzuk erabiltzen dira </w:t>
            </w:r>
            <w:r w:rsidR="00E86BCE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>(herriaren jokua...).</w:t>
            </w:r>
          </w:p>
          <w:p w14:paraId="4EB5352D" w14:textId="77777777" w:rsidR="003A131E" w:rsidRDefault="003A131E" w:rsidP="003A131E">
            <w:pPr>
              <w:jc w:val="both"/>
              <w:rPr>
                <w:lang w:val="eu-ES"/>
              </w:rPr>
            </w:pPr>
          </w:p>
          <w:p w14:paraId="7A1A6E70" w14:textId="4FF9C8AA" w:rsidR="00A511C3" w:rsidRPr="003A131E" w:rsidRDefault="00A511C3" w:rsidP="00A94B8B">
            <w:pPr>
              <w:jc w:val="both"/>
              <w:rPr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630BC615" w14:textId="77777777" w:rsidR="003A131E" w:rsidRDefault="003A131E" w:rsidP="003A131E">
            <w:p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</w:p>
        </w:tc>
      </w:tr>
      <w:tr w:rsidR="003A131E" w:rsidRPr="00AD75AD" w14:paraId="64D5F677" w14:textId="77777777" w:rsidTr="003A131E">
        <w:trPr>
          <w:cantSplit/>
          <w:trHeight w:val="138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00825745" w14:textId="77777777" w:rsidR="003A131E" w:rsidRPr="00AD75AD" w:rsidRDefault="003A131E" w:rsidP="003A131E">
            <w:pPr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 w:rsidRPr="00AD75AD">
              <w:rPr>
                <w:rFonts w:ascii="Arial" w:hAnsi="Arial" w:cs="Arial"/>
                <w:b/>
                <w:bCs/>
                <w:sz w:val="20"/>
                <w:lang w:val="eu-ES"/>
              </w:rPr>
              <w:t>Ulertu ez diren edukiak: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235A9369" w14:textId="77777777" w:rsidR="003A131E" w:rsidRPr="00AD75AD" w:rsidRDefault="003A131E">
            <w:pPr>
              <w:rPr>
                <w:rFonts w:ascii="Arial" w:hAnsi="Arial" w:cs="Arial"/>
                <w:b/>
                <w:sz w:val="20"/>
                <w:lang w:val="eu-ES"/>
              </w:rPr>
            </w:pPr>
            <w:r w:rsidRPr="00AD75AD">
              <w:rPr>
                <w:rFonts w:ascii="Arial" w:hAnsi="Arial" w:cs="Arial"/>
                <w:b/>
                <w:sz w:val="20"/>
                <w:lang w:val="eu-ES"/>
              </w:rPr>
              <w:t>Zergatik:</w:t>
            </w:r>
          </w:p>
        </w:tc>
      </w:tr>
      <w:tr w:rsidR="003A131E" w:rsidRPr="00E942BD" w14:paraId="405E59B9" w14:textId="77777777" w:rsidTr="003A131E">
        <w:trPr>
          <w:cantSplit/>
          <w:trHeight w:val="344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7F5D17F8" w14:textId="6155EC4D" w:rsidR="003A131E" w:rsidRPr="00E90A78" w:rsidRDefault="004252FA" w:rsidP="004252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lastRenderedPageBreak/>
              <w:t xml:space="preserve">Testigantza gertaera jazo eta ahalik eta azkarren egiteak </w:t>
            </w:r>
            <w:r w:rsidR="00E90A78">
              <w:rPr>
                <w:rFonts w:ascii="Arial" w:hAnsi="Arial" w:cs="Arial"/>
                <w:b/>
                <w:bCs/>
                <w:sz w:val="20"/>
                <w:lang w:val="eu-ES"/>
              </w:rPr>
              <w:t>zehaztasun gehiago gogoratzea ekartzen badu, baina trauma dela eta oroimenean eragina izan badu, zein mekanismo erabiltzen dira?</w:t>
            </w:r>
          </w:p>
          <w:p w14:paraId="3857256F" w14:textId="0FEDA23B" w:rsidR="00E90A78" w:rsidRPr="00E90A78" w:rsidRDefault="00E90A78" w:rsidP="004252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</w:pPr>
            <w:r w:rsidRPr="00E90A78">
              <w:rPr>
                <w:rFonts w:ascii="Arial" w:hAnsi="Arial" w:cs="Arial"/>
                <w:b/>
                <w:bCs/>
                <w:sz w:val="20"/>
                <w:szCs w:val="20"/>
              </w:rPr>
              <w:t>“Cuanto mayor sea el número de personas parecidas al sospechoso en la rueda de reconocimiento, mayor será la probabilidad de identificar correctamente al sospechoso”,</w:t>
            </w:r>
            <w:r w:rsidRPr="00E90A78">
              <w:rPr>
                <w:rFonts w:ascii="Arial" w:hAnsi="Arial" w:cs="Arial"/>
                <w:b/>
                <w:bCs/>
                <w:sz w:val="20"/>
                <w:szCs w:val="20"/>
                <w:lang w:val="eu-ES"/>
              </w:rPr>
              <w:t xml:space="preserve"> hau benetan gertatzen da edo ohikoagoa da nahastea?</w:t>
            </w:r>
          </w:p>
          <w:p w14:paraId="2A755EEB" w14:textId="5F3251E8" w:rsidR="00E90A78" w:rsidRDefault="00E90A78" w:rsidP="004252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Hipnosia erabiltzen da?</w:t>
            </w:r>
          </w:p>
          <w:p w14:paraId="287D1AB5" w14:textId="32783741" w:rsidR="00E90A78" w:rsidRDefault="00E90A78" w:rsidP="004252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 xml:space="preserve">Nola ezberdintzen da </w:t>
            </w:r>
            <w:r w:rsidR="00EA0400">
              <w:rPr>
                <w:rFonts w:ascii="Arial" w:hAnsi="Arial" w:cs="Arial"/>
                <w:b/>
                <w:bCs/>
                <w:sz w:val="20"/>
                <w:lang w:val="eu-ES"/>
              </w:rPr>
              <w:t>testimonio anitzetan gezurra esaten ari den edota oroimenean aldaketak izan dituen?</w:t>
            </w:r>
          </w:p>
          <w:p w14:paraId="48EC87E3" w14:textId="528FA1F9" w:rsidR="00EA0400" w:rsidRDefault="00EA0400" w:rsidP="004252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Delitugilea arloko profesional bat baldin bada?</w:t>
            </w:r>
          </w:p>
          <w:p w14:paraId="6B45B741" w14:textId="5B7FCE7A" w:rsidR="00EA0400" w:rsidRPr="00E90A78" w:rsidRDefault="00E942BD" w:rsidP="004252F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/>
              </w:rPr>
              <w:t>Abusatua eta abusatzailea adingabeak baldin badira?</w:t>
            </w:r>
          </w:p>
          <w:p w14:paraId="316D7A6F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4FFEB92F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7A131723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496B9C77" w14:textId="77777777" w:rsidR="003A131E" w:rsidRDefault="003A131E" w:rsidP="003A131E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  <w:tr w:rsidR="003A131E" w14:paraId="7BA36F60" w14:textId="77777777" w:rsidTr="003A131E">
        <w:trPr>
          <w:cantSplit/>
          <w:trHeight w:val="145"/>
        </w:trPr>
        <w:tc>
          <w:tcPr>
            <w:tcW w:w="6794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EA4D589" w14:textId="77777777" w:rsidR="003A131E" w:rsidRDefault="003A131E" w:rsidP="003A131E">
            <w:pPr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lang w:val="eu-ES"/>
              </w:rPr>
              <w:t>Psikologiaren beste eduki ezberdinekin harremanak:</w:t>
            </w:r>
          </w:p>
        </w:tc>
        <w:tc>
          <w:tcPr>
            <w:tcW w:w="2746" w:type="dxa"/>
            <w:tcBorders>
              <w:bottom w:val="nil"/>
            </w:tcBorders>
            <w:shd w:val="clear" w:color="auto" w:fill="D9D9D9" w:themeFill="background1" w:themeFillShade="D9"/>
          </w:tcPr>
          <w:p w14:paraId="14A0E5FA" w14:textId="77777777" w:rsidR="003A131E" w:rsidRDefault="003A131E">
            <w:pPr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20"/>
                <w:lang w:val="eu-ES"/>
              </w:rPr>
              <w:t>Zergatik:</w:t>
            </w:r>
          </w:p>
        </w:tc>
      </w:tr>
      <w:tr w:rsidR="003A131E" w14:paraId="5E6B8ACC" w14:textId="77777777" w:rsidTr="003A131E">
        <w:trPr>
          <w:cantSplit/>
          <w:trHeight w:val="457"/>
        </w:trPr>
        <w:tc>
          <w:tcPr>
            <w:tcW w:w="6794" w:type="dxa"/>
            <w:gridSpan w:val="2"/>
            <w:tcBorders>
              <w:top w:val="nil"/>
              <w:bottom w:val="single" w:sz="4" w:space="0" w:color="auto"/>
            </w:tcBorders>
          </w:tcPr>
          <w:p w14:paraId="47F4A19F" w14:textId="5E8AB201" w:rsidR="003A131E" w:rsidRDefault="00A511C3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>
              <w:rPr>
                <w:rFonts w:ascii="Arial" w:hAnsi="Arial" w:cs="Arial"/>
                <w:sz w:val="20"/>
                <w:lang w:val="eu-ES"/>
              </w:rPr>
              <w:t xml:space="preserve">Arreta, pertzepzioa, oroimena, emozioek oroimenean duten eragina, </w:t>
            </w:r>
          </w:p>
          <w:p w14:paraId="0EE93266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233F1A2B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  <w:p w14:paraId="46DBB66B" w14:textId="77777777" w:rsidR="003A131E" w:rsidRDefault="003A131E" w:rsidP="003A131E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746" w:type="dxa"/>
            <w:tcBorders>
              <w:top w:val="nil"/>
              <w:bottom w:val="single" w:sz="4" w:space="0" w:color="auto"/>
            </w:tcBorders>
          </w:tcPr>
          <w:p w14:paraId="75F1F5B1" w14:textId="77777777" w:rsidR="003A131E" w:rsidRDefault="003A131E" w:rsidP="003A131E">
            <w:pPr>
              <w:jc w:val="both"/>
              <w:rPr>
                <w:rFonts w:ascii="Arial" w:hAnsi="Arial" w:cs="Arial"/>
                <w:bCs/>
                <w:sz w:val="20"/>
                <w:lang w:val="eu-ES"/>
              </w:rPr>
            </w:pPr>
          </w:p>
        </w:tc>
      </w:tr>
    </w:tbl>
    <w:p w14:paraId="5EB8ABEB" w14:textId="77777777" w:rsidR="001907B4" w:rsidRPr="00A511C3" w:rsidRDefault="001907B4"/>
    <w:sectPr w:rsidR="001907B4" w:rsidRPr="00A511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9239" w14:textId="77777777" w:rsidR="005C14F9" w:rsidRDefault="005C14F9">
      <w:r>
        <w:separator/>
      </w:r>
    </w:p>
  </w:endnote>
  <w:endnote w:type="continuationSeparator" w:id="0">
    <w:p w14:paraId="3B8FA699" w14:textId="77777777" w:rsidR="005C14F9" w:rsidRDefault="005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DDAF5" w14:textId="77777777" w:rsidR="005C14F9" w:rsidRDefault="005C14F9">
      <w:r>
        <w:separator/>
      </w:r>
    </w:p>
  </w:footnote>
  <w:footnote w:type="continuationSeparator" w:id="0">
    <w:p w14:paraId="03BC7A7F" w14:textId="77777777" w:rsidR="005C14F9" w:rsidRDefault="005C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60"/>
      <w:gridCol w:w="2280"/>
      <w:gridCol w:w="3564"/>
    </w:tblGrid>
    <w:tr w:rsidR="00546A1B" w14:paraId="4BF5B8B1" w14:textId="77777777" w:rsidTr="003A131E">
      <w:trPr>
        <w:trHeight w:val="367"/>
      </w:trPr>
      <w:tc>
        <w:tcPr>
          <w:tcW w:w="1035" w:type="dxa"/>
        </w:tcPr>
        <w:p w14:paraId="5C66D22C" w14:textId="77777777" w:rsidR="00546A1B" w:rsidRDefault="003A131E" w:rsidP="003A131E">
          <w:pPr>
            <w:pStyle w:val="Header"/>
            <w:rPr>
              <w:rFonts w:ascii="Arial" w:hAnsi="Arial" w:cs="Arial"/>
              <w:sz w:val="16"/>
              <w:lang w:val="eu-ES"/>
            </w:rPr>
          </w:pPr>
          <w:r>
            <w:rPr>
              <w:noProof/>
              <w:sz w:val="28"/>
            </w:rPr>
            <w:drawing>
              <wp:inline distT="0" distB="0" distL="0" distR="0" wp14:anchorId="7C637C73" wp14:editId="0FAA3327">
                <wp:extent cx="1600200" cy="360680"/>
                <wp:effectExtent l="0" t="0" r="0" b="1270"/>
                <wp:docPr id="4" name="Imagen 4" descr="E:\EUSKAL HERRIKO UNIBERTSITATEA\LOGOTIPO FACULTAD PSICOLOGIA. BILINGÜE BLANCO AL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:\EUSKAL HERRIKO UNIBERTSITATEA\LOGOTIPO FACULTAD PSICOLOGIA. BILINGÜE BLANCO AL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5" w:type="dxa"/>
        </w:tcPr>
        <w:p w14:paraId="6F99DA51" w14:textId="77777777" w:rsidR="00546A1B" w:rsidRPr="003A131E" w:rsidRDefault="003A131E">
          <w:pPr>
            <w:pStyle w:val="Header"/>
            <w:rPr>
              <w:rFonts w:ascii="Arial" w:hAnsi="Arial" w:cs="Arial"/>
              <w:b/>
              <w:sz w:val="12"/>
              <w:lang w:val="eu-ES"/>
            </w:rPr>
          </w:pPr>
          <w:r w:rsidRPr="003A131E">
            <w:rPr>
              <w:rFonts w:ascii="Arial" w:hAnsi="Arial" w:cs="Arial"/>
              <w:b/>
              <w:sz w:val="12"/>
              <w:lang w:val="eu-ES"/>
            </w:rPr>
            <w:t>Psikologia juridikoa</w:t>
          </w:r>
        </w:p>
        <w:p w14:paraId="7C594AAF" w14:textId="77777777" w:rsidR="00546A1B" w:rsidRDefault="00546A1B">
          <w:pPr>
            <w:pStyle w:val="Header"/>
            <w:rPr>
              <w:rFonts w:ascii="Arial" w:hAnsi="Arial" w:cs="Arial"/>
              <w:lang w:val="eu-ES"/>
            </w:rPr>
          </w:pPr>
        </w:p>
      </w:tc>
      <w:tc>
        <w:tcPr>
          <w:tcW w:w="4614" w:type="dxa"/>
        </w:tcPr>
        <w:p w14:paraId="0893261F" w14:textId="77777777" w:rsidR="00546A1B" w:rsidRDefault="00546A1B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</w:p>
        <w:p w14:paraId="102A2132" w14:textId="77777777" w:rsidR="00546A1B" w:rsidRDefault="001907B4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  <w:r>
            <w:rPr>
              <w:rFonts w:ascii="Arial" w:hAnsi="Arial" w:cs="Arial"/>
              <w:sz w:val="12"/>
              <w:lang w:val="eu-ES"/>
            </w:rPr>
            <w:t>Oscar Díaz Nieto</w:t>
          </w:r>
        </w:p>
        <w:p w14:paraId="3B483BE7" w14:textId="77777777" w:rsidR="00546A1B" w:rsidRDefault="00546A1B">
          <w:pPr>
            <w:pStyle w:val="Header"/>
            <w:rPr>
              <w:rFonts w:ascii="Arial" w:hAnsi="Arial" w:cs="Arial"/>
              <w:sz w:val="12"/>
              <w:lang w:val="eu-ES"/>
            </w:rPr>
          </w:pPr>
        </w:p>
        <w:p w14:paraId="5D2EE45C" w14:textId="77777777" w:rsidR="00546A1B" w:rsidRDefault="005C14F9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  <w:hyperlink r:id="rId2" w:history="1">
            <w:r w:rsidR="003A131E" w:rsidRPr="00327EEC">
              <w:rPr>
                <w:rStyle w:val="Hyperlink"/>
                <w:rFonts w:ascii="Arial" w:hAnsi="Arial" w:cs="Arial"/>
                <w:sz w:val="12"/>
                <w:lang w:val="eu-ES"/>
              </w:rPr>
              <w:t>oscar.diazn@ehu.eus</w:t>
            </w:r>
          </w:hyperlink>
        </w:p>
        <w:p w14:paraId="6AFB7649" w14:textId="77777777" w:rsidR="00546A1B" w:rsidRDefault="00546A1B">
          <w:pPr>
            <w:pStyle w:val="Header"/>
            <w:jc w:val="right"/>
            <w:rPr>
              <w:rFonts w:ascii="Arial" w:hAnsi="Arial" w:cs="Arial"/>
              <w:sz w:val="12"/>
              <w:lang w:val="eu-ES"/>
            </w:rPr>
          </w:pPr>
        </w:p>
      </w:tc>
    </w:tr>
  </w:tbl>
  <w:p w14:paraId="2CBB46FA" w14:textId="77777777" w:rsidR="00546A1B" w:rsidRDefault="00546A1B">
    <w:pPr>
      <w:pStyle w:val="Header"/>
      <w:rPr>
        <w:lang w:val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56EC"/>
    <w:multiLevelType w:val="hybridMultilevel"/>
    <w:tmpl w:val="15CEFE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722A0"/>
    <w:multiLevelType w:val="hybridMultilevel"/>
    <w:tmpl w:val="EE2E1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B68CE"/>
    <w:multiLevelType w:val="hybridMultilevel"/>
    <w:tmpl w:val="406AA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FC"/>
    <w:rsid w:val="000650F5"/>
    <w:rsid w:val="001907B4"/>
    <w:rsid w:val="002E240E"/>
    <w:rsid w:val="003A131E"/>
    <w:rsid w:val="004252FA"/>
    <w:rsid w:val="00546A1B"/>
    <w:rsid w:val="005C14F9"/>
    <w:rsid w:val="008E39FD"/>
    <w:rsid w:val="009427FC"/>
    <w:rsid w:val="00A511C3"/>
    <w:rsid w:val="00A94B8B"/>
    <w:rsid w:val="00AD75AD"/>
    <w:rsid w:val="00B0681B"/>
    <w:rsid w:val="00BF138C"/>
    <w:rsid w:val="00D3532F"/>
    <w:rsid w:val="00E86BCE"/>
    <w:rsid w:val="00E90A78"/>
    <w:rsid w:val="00E942BD"/>
    <w:rsid w:val="00E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C4237"/>
  <w15:docId w15:val="{ADE191DF-7339-41ED-9A97-0FFB726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lang w:val="eu-E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eu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car.diazn@ehu.eu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tx\Downloads\PJ.%20GAIAK%20LANTZEKO%20INPRIMAKIA%20(6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PJ. GAIAK LANTZEKO INPRIMAKIA (6)</Template>
  <TotalTime>178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KRIMEN ARLOKO PSIKOLOGIA</vt:lpstr>
      <vt:lpstr>KRIMEN ARLOKO PSIKOLOGIA</vt:lpstr>
    </vt:vector>
  </TitlesOfParts>
  <Company>Viceconsejeria de Justicia</Company>
  <LinksUpToDate>false</LinksUpToDate>
  <CharactersWithSpaces>2521</CharactersWithSpaces>
  <SharedDoc>false</SharedDoc>
  <HLinks>
    <vt:vector size="18" baseType="variant"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>http://www.ehu.es/oscardiaz/index.html</vt:lpwstr>
      </vt:variant>
      <vt:variant>
        <vt:lpwstr/>
      </vt:variant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mailto:oscar.diazn@ehu.es</vt:lpwstr>
      </vt:variant>
      <vt:variant>
        <vt:lpwstr/>
      </vt:variant>
      <vt:variant>
        <vt:i4>196699</vt:i4>
      </vt:variant>
      <vt:variant>
        <vt:i4>1253</vt:i4>
      </vt:variant>
      <vt:variant>
        <vt:i4>1025</vt:i4>
      </vt:variant>
      <vt:variant>
        <vt:i4>1</vt:i4>
      </vt:variant>
      <vt:variant>
        <vt:lpwstr>Logo UPV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KRIMEN ARLOKO PSIKOLOGIA</dc:title>
  <dc:creator>Saioa Etxegia</dc:creator>
  <cp:lastModifiedBy>Saioa Etxegia</cp:lastModifiedBy>
  <cp:revision>3</cp:revision>
  <cp:lastPrinted>1899-12-31T23:00:00Z</cp:lastPrinted>
  <dcterms:created xsi:type="dcterms:W3CDTF">2020-09-22T07:41:00Z</dcterms:created>
  <dcterms:modified xsi:type="dcterms:W3CDTF">2020-09-23T14:29:00Z</dcterms:modified>
</cp:coreProperties>
</file>